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D10B" w14:textId="77777777" w:rsidR="00E877D9" w:rsidRPr="00951D01" w:rsidRDefault="00E877D9" w:rsidP="00226935">
      <w:pPr>
        <w:spacing w:after="0" w:line="240" w:lineRule="auto"/>
        <w:rPr>
          <w:b/>
          <w:color w:val="6BA42C"/>
          <w:sz w:val="28"/>
          <w:szCs w:val="28"/>
        </w:rPr>
      </w:pPr>
      <w:r w:rsidRPr="00951D01">
        <w:rPr>
          <w:b/>
          <w:color w:val="6BA42C"/>
          <w:sz w:val="28"/>
          <w:szCs w:val="28"/>
        </w:rPr>
        <w:t>Market Update for the</w:t>
      </w:r>
      <w:r w:rsidR="0028562C" w:rsidRPr="00951D01">
        <w:rPr>
          <w:b/>
          <w:color w:val="6BA42C"/>
          <w:sz w:val="28"/>
          <w:szCs w:val="28"/>
        </w:rPr>
        <w:t xml:space="preserve"> Quarter</w:t>
      </w:r>
      <w:r w:rsidRPr="00951D01">
        <w:rPr>
          <w:b/>
          <w:color w:val="6BA42C"/>
          <w:sz w:val="28"/>
          <w:szCs w:val="28"/>
        </w:rPr>
        <w:t xml:space="preserve"> Ending </w:t>
      </w:r>
      <w:r w:rsidR="0028562C" w:rsidRPr="00951D01">
        <w:rPr>
          <w:b/>
          <w:color w:val="6BA42C"/>
          <w:sz w:val="28"/>
          <w:szCs w:val="28"/>
        </w:rPr>
        <w:t>December 31</w:t>
      </w:r>
      <w:r w:rsidRPr="00951D01">
        <w:rPr>
          <w:b/>
          <w:color w:val="6BA42C"/>
          <w:sz w:val="28"/>
          <w:szCs w:val="28"/>
        </w:rPr>
        <w:t>, 2018</w:t>
      </w:r>
    </w:p>
    <w:p w14:paraId="70E66916" w14:textId="5FE589B3" w:rsidR="00E877D9" w:rsidRPr="00951D01" w:rsidRDefault="00E877D9" w:rsidP="00226935">
      <w:pPr>
        <w:spacing w:after="0" w:line="240" w:lineRule="auto"/>
        <w:rPr>
          <w:i/>
          <w:sz w:val="24"/>
          <w:szCs w:val="24"/>
        </w:rPr>
      </w:pPr>
      <w:r w:rsidRPr="00951D01">
        <w:rPr>
          <w:i/>
          <w:sz w:val="24"/>
          <w:szCs w:val="24"/>
        </w:rPr>
        <w:t xml:space="preserve">Presented by </w:t>
      </w:r>
      <w:r w:rsidR="00951D01" w:rsidRPr="00951D01">
        <w:rPr>
          <w:i/>
          <w:sz w:val="24"/>
          <w:szCs w:val="24"/>
        </w:rPr>
        <w:t>Marianna Goldenberg</w:t>
      </w:r>
    </w:p>
    <w:p w14:paraId="525A65E1" w14:textId="77777777" w:rsidR="00E877D9" w:rsidRPr="00951D01" w:rsidRDefault="00E877D9" w:rsidP="00226935">
      <w:pPr>
        <w:spacing w:after="0" w:line="240" w:lineRule="auto"/>
        <w:rPr>
          <w:b/>
          <w:sz w:val="24"/>
          <w:szCs w:val="24"/>
        </w:rPr>
      </w:pPr>
    </w:p>
    <w:p w14:paraId="7103505D" w14:textId="77777777" w:rsidR="0022132E" w:rsidRPr="00951D01" w:rsidRDefault="00DD275C" w:rsidP="00226935">
      <w:pPr>
        <w:spacing w:after="0" w:line="240" w:lineRule="auto"/>
        <w:rPr>
          <w:b/>
          <w:color w:val="333399"/>
          <w:sz w:val="24"/>
          <w:szCs w:val="24"/>
        </w:rPr>
      </w:pPr>
      <w:r w:rsidRPr="00951D01">
        <w:rPr>
          <w:b/>
          <w:color w:val="333399"/>
          <w:sz w:val="24"/>
          <w:szCs w:val="24"/>
        </w:rPr>
        <w:t xml:space="preserve">Terrible December caps </w:t>
      </w:r>
      <w:r w:rsidR="004B7800" w:rsidRPr="00951D01">
        <w:rPr>
          <w:b/>
          <w:color w:val="333399"/>
          <w:sz w:val="24"/>
          <w:szCs w:val="24"/>
        </w:rPr>
        <w:t xml:space="preserve">off </w:t>
      </w:r>
      <w:r w:rsidR="00833ADA" w:rsidRPr="00951D01">
        <w:rPr>
          <w:b/>
          <w:color w:val="333399"/>
          <w:sz w:val="24"/>
          <w:szCs w:val="24"/>
        </w:rPr>
        <w:t>tough</w:t>
      </w:r>
      <w:r w:rsidRPr="00951D01">
        <w:rPr>
          <w:b/>
          <w:color w:val="333399"/>
          <w:sz w:val="24"/>
          <w:szCs w:val="24"/>
        </w:rPr>
        <w:t xml:space="preserve"> year</w:t>
      </w:r>
      <w:r w:rsidR="00833ADA" w:rsidRPr="00951D01">
        <w:rPr>
          <w:b/>
          <w:color w:val="333399"/>
          <w:sz w:val="24"/>
          <w:szCs w:val="24"/>
        </w:rPr>
        <w:t xml:space="preserve"> for markets</w:t>
      </w:r>
    </w:p>
    <w:p w14:paraId="272EE1A5" w14:textId="77777777" w:rsidR="00226935" w:rsidRPr="00951D01" w:rsidRDefault="00396268" w:rsidP="00226935">
      <w:pPr>
        <w:spacing w:after="0" w:line="240" w:lineRule="auto"/>
        <w:rPr>
          <w:sz w:val="24"/>
          <w:szCs w:val="24"/>
        </w:rPr>
      </w:pPr>
      <w:r w:rsidRPr="00951D01">
        <w:rPr>
          <w:sz w:val="24"/>
          <w:szCs w:val="24"/>
        </w:rPr>
        <w:t>Unfortunately, i</w:t>
      </w:r>
      <w:r w:rsidR="00B840DE" w:rsidRPr="00951D01">
        <w:rPr>
          <w:sz w:val="24"/>
          <w:szCs w:val="24"/>
        </w:rPr>
        <w:t>nvestors who were holding out hope for a year-end rally were disappointed</w:t>
      </w:r>
      <w:r w:rsidRPr="00951D01">
        <w:rPr>
          <w:sz w:val="24"/>
          <w:szCs w:val="24"/>
        </w:rPr>
        <w:t>.</w:t>
      </w:r>
      <w:r w:rsidR="00B840DE" w:rsidRPr="00951D01">
        <w:rPr>
          <w:sz w:val="24"/>
          <w:szCs w:val="24"/>
        </w:rPr>
        <w:t xml:space="preserve"> </w:t>
      </w:r>
      <w:r w:rsidRPr="00951D01">
        <w:rPr>
          <w:sz w:val="24"/>
          <w:szCs w:val="24"/>
        </w:rPr>
        <w:t xml:space="preserve">As 2018 came to </w:t>
      </w:r>
      <w:r w:rsidR="003E5817" w:rsidRPr="00951D01">
        <w:rPr>
          <w:sz w:val="24"/>
          <w:szCs w:val="24"/>
        </w:rPr>
        <w:t>its end</w:t>
      </w:r>
      <w:r w:rsidRPr="00951D01">
        <w:rPr>
          <w:sz w:val="24"/>
          <w:szCs w:val="24"/>
        </w:rPr>
        <w:t xml:space="preserve">, </w:t>
      </w:r>
      <w:r w:rsidR="003E5817" w:rsidRPr="00951D01">
        <w:rPr>
          <w:sz w:val="24"/>
          <w:szCs w:val="24"/>
        </w:rPr>
        <w:t xml:space="preserve">rising political and economic concerns weighed on </w:t>
      </w:r>
      <w:r w:rsidRPr="00951D01">
        <w:rPr>
          <w:sz w:val="24"/>
          <w:szCs w:val="24"/>
        </w:rPr>
        <w:t>g</w:t>
      </w:r>
      <w:r w:rsidR="00B840DE" w:rsidRPr="00951D01">
        <w:rPr>
          <w:sz w:val="24"/>
          <w:szCs w:val="24"/>
        </w:rPr>
        <w:t xml:space="preserve">lobal markets. This </w:t>
      </w:r>
      <w:r w:rsidRPr="00951D01">
        <w:rPr>
          <w:sz w:val="24"/>
          <w:szCs w:val="24"/>
        </w:rPr>
        <w:t xml:space="preserve">turmoil </w:t>
      </w:r>
      <w:r w:rsidR="00B840DE" w:rsidRPr="00951D01">
        <w:rPr>
          <w:sz w:val="24"/>
          <w:szCs w:val="24"/>
        </w:rPr>
        <w:t>capped off a disappointing quarter</w:t>
      </w:r>
      <w:r w:rsidR="00833ADA" w:rsidRPr="00951D01">
        <w:rPr>
          <w:sz w:val="24"/>
          <w:szCs w:val="24"/>
        </w:rPr>
        <w:t xml:space="preserve"> and year for equities.</w:t>
      </w:r>
    </w:p>
    <w:p w14:paraId="4C93331C" w14:textId="77777777" w:rsidR="00226935" w:rsidRPr="00951D01" w:rsidRDefault="00226935" w:rsidP="00226935">
      <w:pPr>
        <w:spacing w:after="0" w:line="240" w:lineRule="auto"/>
        <w:rPr>
          <w:sz w:val="24"/>
          <w:szCs w:val="24"/>
        </w:rPr>
      </w:pPr>
    </w:p>
    <w:p w14:paraId="461C8D8B" w14:textId="2510D274" w:rsidR="008E0280" w:rsidRPr="00951D01" w:rsidRDefault="008E0280" w:rsidP="00C33706">
      <w:pPr>
        <w:spacing w:after="0" w:line="240" w:lineRule="auto"/>
        <w:rPr>
          <w:rFonts w:cs="Times New Roman"/>
          <w:sz w:val="24"/>
          <w:szCs w:val="24"/>
        </w:rPr>
      </w:pPr>
      <w:r w:rsidRPr="00951D01">
        <w:rPr>
          <w:rFonts w:cs="Times New Roman"/>
          <w:sz w:val="24"/>
          <w:szCs w:val="24"/>
        </w:rPr>
        <w:t xml:space="preserve">Among U.S. markets, the Nasdaq Composite fared the worst. It saw losses of 9.40 percent for the month and 17.29 percent for the quarter. For the year, </w:t>
      </w:r>
      <w:r w:rsidR="0089349A" w:rsidRPr="00951D01">
        <w:rPr>
          <w:rFonts w:cs="Times New Roman"/>
          <w:sz w:val="24"/>
          <w:szCs w:val="24"/>
        </w:rPr>
        <w:t xml:space="preserve">though, </w:t>
      </w:r>
      <w:r w:rsidRPr="00951D01">
        <w:rPr>
          <w:rFonts w:cs="Times New Roman"/>
          <w:sz w:val="24"/>
          <w:szCs w:val="24"/>
        </w:rPr>
        <w:t xml:space="preserve">the Nasdaq was down </w:t>
      </w:r>
      <w:r w:rsidR="0089349A" w:rsidRPr="00951D01">
        <w:rPr>
          <w:rFonts w:cs="Times New Roman"/>
          <w:sz w:val="24"/>
          <w:szCs w:val="24"/>
        </w:rPr>
        <w:t xml:space="preserve">only </w:t>
      </w:r>
      <w:r w:rsidRPr="00951D01">
        <w:rPr>
          <w:rFonts w:cs="Times New Roman"/>
          <w:sz w:val="24"/>
          <w:szCs w:val="24"/>
        </w:rPr>
        <w:t xml:space="preserve">2.84 percent. The Dow Jones Industrial Average had similar results. It </w:t>
      </w:r>
      <w:r w:rsidR="00557596" w:rsidRPr="00951D01">
        <w:rPr>
          <w:rFonts w:cs="Times New Roman"/>
          <w:sz w:val="24"/>
          <w:szCs w:val="24"/>
        </w:rPr>
        <w:t>lost</w:t>
      </w:r>
      <w:r w:rsidRPr="00951D01">
        <w:rPr>
          <w:rFonts w:cs="Times New Roman"/>
          <w:sz w:val="24"/>
          <w:szCs w:val="24"/>
        </w:rPr>
        <w:t xml:space="preserve"> 8.59 percent for the month and 11.31 percent for the quarter, contributing to a loss of 3.48 percent for the year. Finally, the S&amp;P 500 declined by 9.03 percent in December. This led to a d</w:t>
      </w:r>
      <w:r w:rsidR="00BE035B" w:rsidRPr="00951D01">
        <w:rPr>
          <w:rFonts w:cs="Times New Roman"/>
          <w:sz w:val="24"/>
          <w:szCs w:val="24"/>
        </w:rPr>
        <w:t>rop</w:t>
      </w:r>
      <w:r w:rsidRPr="00951D01">
        <w:rPr>
          <w:rFonts w:cs="Times New Roman"/>
          <w:sz w:val="24"/>
          <w:szCs w:val="24"/>
        </w:rPr>
        <w:t xml:space="preserve"> of 13.52 percent for the quarter and 4.38 percent for the year.</w:t>
      </w:r>
    </w:p>
    <w:p w14:paraId="506ED534" w14:textId="77777777" w:rsidR="008E0280" w:rsidRPr="00951D01" w:rsidRDefault="008E0280" w:rsidP="00226935">
      <w:pPr>
        <w:spacing w:after="0" w:line="240" w:lineRule="auto"/>
        <w:rPr>
          <w:sz w:val="24"/>
          <w:szCs w:val="24"/>
        </w:rPr>
      </w:pPr>
    </w:p>
    <w:p w14:paraId="22D11F36" w14:textId="3592FED5" w:rsidR="008A2A1E" w:rsidRPr="00951D01" w:rsidRDefault="00BE62AF" w:rsidP="00226935">
      <w:pPr>
        <w:spacing w:after="0" w:line="240" w:lineRule="auto"/>
        <w:rPr>
          <w:sz w:val="24"/>
          <w:szCs w:val="24"/>
        </w:rPr>
      </w:pPr>
      <w:r w:rsidRPr="00951D01">
        <w:rPr>
          <w:sz w:val="24"/>
          <w:szCs w:val="24"/>
        </w:rPr>
        <w:t>December’s</w:t>
      </w:r>
      <w:r w:rsidR="00833ADA" w:rsidRPr="00951D01">
        <w:rPr>
          <w:sz w:val="24"/>
          <w:szCs w:val="24"/>
        </w:rPr>
        <w:t xml:space="preserve"> selloff </w:t>
      </w:r>
      <w:r w:rsidRPr="00951D01">
        <w:rPr>
          <w:sz w:val="24"/>
          <w:szCs w:val="24"/>
        </w:rPr>
        <w:t>resulted from</w:t>
      </w:r>
      <w:r w:rsidR="00833ADA" w:rsidRPr="00951D01">
        <w:rPr>
          <w:sz w:val="24"/>
          <w:szCs w:val="24"/>
        </w:rPr>
        <w:t xml:space="preserve"> concerns </w:t>
      </w:r>
      <w:r w:rsidRPr="00951D01">
        <w:rPr>
          <w:sz w:val="24"/>
          <w:szCs w:val="24"/>
        </w:rPr>
        <w:t>over</w:t>
      </w:r>
      <w:r w:rsidR="00833ADA" w:rsidRPr="00951D01">
        <w:rPr>
          <w:sz w:val="24"/>
          <w:szCs w:val="24"/>
        </w:rPr>
        <w:t xml:space="preserve"> the government shutdown</w:t>
      </w:r>
      <w:r w:rsidR="00226935" w:rsidRPr="00951D01">
        <w:rPr>
          <w:sz w:val="24"/>
          <w:szCs w:val="24"/>
        </w:rPr>
        <w:t>,</w:t>
      </w:r>
      <w:r w:rsidR="00833ADA" w:rsidRPr="00951D01">
        <w:rPr>
          <w:sz w:val="24"/>
          <w:szCs w:val="24"/>
        </w:rPr>
        <w:t xml:space="preserve"> </w:t>
      </w:r>
      <w:r w:rsidRPr="00951D01">
        <w:rPr>
          <w:sz w:val="24"/>
          <w:szCs w:val="24"/>
        </w:rPr>
        <w:t>among</w:t>
      </w:r>
      <w:r w:rsidR="00833ADA" w:rsidRPr="00951D01">
        <w:rPr>
          <w:sz w:val="24"/>
          <w:szCs w:val="24"/>
        </w:rPr>
        <w:t xml:space="preserve"> </w:t>
      </w:r>
      <w:r w:rsidR="008A2A1E" w:rsidRPr="00951D01">
        <w:rPr>
          <w:sz w:val="24"/>
          <w:szCs w:val="24"/>
        </w:rPr>
        <w:t xml:space="preserve">other political </w:t>
      </w:r>
      <w:r w:rsidRPr="00951D01">
        <w:rPr>
          <w:sz w:val="24"/>
          <w:szCs w:val="24"/>
        </w:rPr>
        <w:t>worries</w:t>
      </w:r>
      <w:r w:rsidR="008A2A1E" w:rsidRPr="00951D01">
        <w:rPr>
          <w:sz w:val="24"/>
          <w:szCs w:val="24"/>
        </w:rPr>
        <w:t xml:space="preserve">. </w:t>
      </w:r>
      <w:r w:rsidR="0073356C" w:rsidRPr="00951D01">
        <w:rPr>
          <w:sz w:val="24"/>
          <w:szCs w:val="24"/>
        </w:rPr>
        <w:t>A</w:t>
      </w:r>
      <w:r w:rsidR="008A2A1E" w:rsidRPr="00951D01">
        <w:rPr>
          <w:sz w:val="24"/>
          <w:szCs w:val="24"/>
        </w:rPr>
        <w:t>ll three U.S. indices remained below their 200</w:t>
      </w:r>
      <w:r w:rsidR="00226935" w:rsidRPr="00951D01">
        <w:rPr>
          <w:sz w:val="24"/>
          <w:szCs w:val="24"/>
        </w:rPr>
        <w:t>-</w:t>
      </w:r>
      <w:r w:rsidR="008A2A1E" w:rsidRPr="00951D01">
        <w:rPr>
          <w:sz w:val="24"/>
          <w:szCs w:val="24"/>
        </w:rPr>
        <w:t>day moving averages</w:t>
      </w:r>
      <w:r w:rsidR="0073356C" w:rsidRPr="00951D01">
        <w:rPr>
          <w:sz w:val="24"/>
          <w:szCs w:val="24"/>
        </w:rPr>
        <w:t>.</w:t>
      </w:r>
      <w:r w:rsidR="008A2A1E" w:rsidRPr="00951D01">
        <w:rPr>
          <w:sz w:val="24"/>
          <w:szCs w:val="24"/>
        </w:rPr>
        <w:t xml:space="preserve"> </w:t>
      </w:r>
      <w:r w:rsidR="00B42DB8" w:rsidRPr="00951D01">
        <w:rPr>
          <w:sz w:val="24"/>
          <w:szCs w:val="24"/>
        </w:rPr>
        <w:t>As such,</w:t>
      </w:r>
      <w:r w:rsidR="008A2A1E" w:rsidRPr="00951D01">
        <w:rPr>
          <w:sz w:val="24"/>
          <w:szCs w:val="24"/>
        </w:rPr>
        <w:t xml:space="preserve"> investors</w:t>
      </w:r>
      <w:r w:rsidR="005E0A53" w:rsidRPr="00951D01">
        <w:rPr>
          <w:sz w:val="24"/>
          <w:szCs w:val="24"/>
        </w:rPr>
        <w:t>’ long-term outlook on U.S. equities</w:t>
      </w:r>
      <w:r w:rsidR="008A2A1E" w:rsidRPr="00951D01">
        <w:rPr>
          <w:sz w:val="24"/>
          <w:szCs w:val="24"/>
        </w:rPr>
        <w:t xml:space="preserve"> may b</w:t>
      </w:r>
      <w:r w:rsidR="00B42DB8" w:rsidRPr="00951D01">
        <w:rPr>
          <w:sz w:val="24"/>
          <w:szCs w:val="24"/>
        </w:rPr>
        <w:t>e</w:t>
      </w:r>
      <w:r w:rsidR="008A2A1E" w:rsidRPr="00951D01">
        <w:rPr>
          <w:sz w:val="24"/>
          <w:szCs w:val="24"/>
        </w:rPr>
        <w:t xml:space="preserve"> turning more negative. </w:t>
      </w:r>
      <w:r w:rsidR="004A2288" w:rsidRPr="00951D01">
        <w:rPr>
          <w:sz w:val="24"/>
          <w:szCs w:val="24"/>
        </w:rPr>
        <w:t>But e</w:t>
      </w:r>
      <w:r w:rsidR="008A2A1E" w:rsidRPr="00951D01">
        <w:rPr>
          <w:sz w:val="24"/>
          <w:szCs w:val="24"/>
        </w:rPr>
        <w:t>ven with the recent volatility</w:t>
      </w:r>
      <w:r w:rsidR="00226935" w:rsidRPr="00951D01">
        <w:rPr>
          <w:sz w:val="24"/>
          <w:szCs w:val="24"/>
        </w:rPr>
        <w:t>,</w:t>
      </w:r>
      <w:r w:rsidR="008A2A1E" w:rsidRPr="00951D01">
        <w:rPr>
          <w:sz w:val="24"/>
          <w:szCs w:val="24"/>
        </w:rPr>
        <w:t xml:space="preserve"> there is reason for some optimism. </w:t>
      </w:r>
    </w:p>
    <w:p w14:paraId="4BA72E9D" w14:textId="77777777" w:rsidR="008A2A1E" w:rsidRPr="00951D01" w:rsidRDefault="008A2A1E" w:rsidP="00226935">
      <w:pPr>
        <w:spacing w:after="0" w:line="240" w:lineRule="auto"/>
        <w:rPr>
          <w:sz w:val="24"/>
          <w:szCs w:val="24"/>
        </w:rPr>
      </w:pPr>
    </w:p>
    <w:p w14:paraId="67B40843" w14:textId="17B57A78" w:rsidR="008A2A1E" w:rsidRPr="00951D01" w:rsidRDefault="008A2A1E" w:rsidP="00226935">
      <w:pPr>
        <w:spacing w:after="0" w:line="240" w:lineRule="auto"/>
        <w:rPr>
          <w:sz w:val="24"/>
          <w:szCs w:val="24"/>
        </w:rPr>
      </w:pPr>
      <w:r w:rsidRPr="00951D01">
        <w:rPr>
          <w:sz w:val="24"/>
          <w:szCs w:val="24"/>
        </w:rPr>
        <w:t xml:space="preserve">Fundamental earnings growth continues to be supportive for equities. </w:t>
      </w:r>
      <w:r w:rsidR="007A2C91" w:rsidRPr="00951D01">
        <w:rPr>
          <w:sz w:val="24"/>
          <w:szCs w:val="24"/>
        </w:rPr>
        <w:t>According to</w:t>
      </w:r>
      <w:r w:rsidRPr="00951D01">
        <w:rPr>
          <w:sz w:val="24"/>
          <w:szCs w:val="24"/>
        </w:rPr>
        <w:t xml:space="preserve"> FactSet, the estimated earnings growth rate for </w:t>
      </w:r>
      <w:r w:rsidR="007A2C91" w:rsidRPr="00951D01">
        <w:rPr>
          <w:sz w:val="24"/>
          <w:szCs w:val="24"/>
        </w:rPr>
        <w:t xml:space="preserve">the </w:t>
      </w:r>
      <w:r w:rsidRPr="00951D01">
        <w:rPr>
          <w:sz w:val="24"/>
          <w:szCs w:val="24"/>
        </w:rPr>
        <w:t>S&amp;P 500 in the fourth quarter is 12.4 percent</w:t>
      </w:r>
      <w:r w:rsidR="00C05A3E" w:rsidRPr="00951D01">
        <w:rPr>
          <w:sz w:val="24"/>
          <w:szCs w:val="24"/>
        </w:rPr>
        <w:t xml:space="preserve"> (as of December 21, 2018)</w:t>
      </w:r>
      <w:r w:rsidRPr="00951D01">
        <w:rPr>
          <w:sz w:val="24"/>
          <w:szCs w:val="24"/>
        </w:rPr>
        <w:t>.</w:t>
      </w:r>
      <w:r w:rsidR="00AD1643" w:rsidRPr="00951D01">
        <w:rPr>
          <w:sz w:val="24"/>
          <w:szCs w:val="24"/>
        </w:rPr>
        <w:t xml:space="preserve"> </w:t>
      </w:r>
      <w:r w:rsidR="007A2C91" w:rsidRPr="00951D01">
        <w:rPr>
          <w:sz w:val="24"/>
          <w:szCs w:val="24"/>
        </w:rPr>
        <w:t>Although</w:t>
      </w:r>
      <w:r w:rsidR="00AD1643" w:rsidRPr="00951D01">
        <w:rPr>
          <w:sz w:val="24"/>
          <w:szCs w:val="24"/>
        </w:rPr>
        <w:t xml:space="preserve"> down from the third quarter</w:t>
      </w:r>
      <w:r w:rsidR="007A2C91" w:rsidRPr="00951D01">
        <w:rPr>
          <w:sz w:val="24"/>
          <w:szCs w:val="24"/>
        </w:rPr>
        <w:t>,</w:t>
      </w:r>
      <w:r w:rsidR="00AD1643" w:rsidRPr="00951D01">
        <w:rPr>
          <w:sz w:val="24"/>
          <w:szCs w:val="24"/>
        </w:rPr>
        <w:t xml:space="preserve"> </w:t>
      </w:r>
      <w:r w:rsidR="00B655A1" w:rsidRPr="00951D01">
        <w:rPr>
          <w:sz w:val="24"/>
          <w:szCs w:val="24"/>
        </w:rPr>
        <w:t>this result</w:t>
      </w:r>
      <w:r w:rsidR="00AD1643" w:rsidRPr="00951D01">
        <w:rPr>
          <w:sz w:val="24"/>
          <w:szCs w:val="24"/>
        </w:rPr>
        <w:t xml:space="preserve"> </w:t>
      </w:r>
      <w:r w:rsidRPr="00951D01">
        <w:rPr>
          <w:sz w:val="24"/>
          <w:szCs w:val="24"/>
        </w:rPr>
        <w:t>would represent the fifth straight quarter of double</w:t>
      </w:r>
      <w:r w:rsidR="007A2C91" w:rsidRPr="00951D01">
        <w:rPr>
          <w:sz w:val="24"/>
          <w:szCs w:val="24"/>
        </w:rPr>
        <w:t>-</w:t>
      </w:r>
      <w:r w:rsidRPr="00951D01">
        <w:rPr>
          <w:sz w:val="24"/>
          <w:szCs w:val="24"/>
        </w:rPr>
        <w:t xml:space="preserve">digit earnings growth. Fundamentals drive </w:t>
      </w:r>
      <w:r w:rsidR="00466D52" w:rsidRPr="00951D01">
        <w:rPr>
          <w:sz w:val="24"/>
          <w:szCs w:val="24"/>
        </w:rPr>
        <w:t>performance</w:t>
      </w:r>
      <w:r w:rsidR="006D0AF8" w:rsidRPr="00951D01">
        <w:rPr>
          <w:sz w:val="24"/>
          <w:szCs w:val="24"/>
        </w:rPr>
        <w:t>.</w:t>
      </w:r>
      <w:r w:rsidRPr="00951D01">
        <w:rPr>
          <w:sz w:val="24"/>
          <w:szCs w:val="24"/>
        </w:rPr>
        <w:t xml:space="preserve"> </w:t>
      </w:r>
      <w:r w:rsidR="006D0AF8" w:rsidRPr="00951D01">
        <w:rPr>
          <w:sz w:val="24"/>
          <w:szCs w:val="24"/>
        </w:rPr>
        <w:t>S</w:t>
      </w:r>
      <w:r w:rsidRPr="00951D01">
        <w:rPr>
          <w:sz w:val="24"/>
          <w:szCs w:val="24"/>
        </w:rPr>
        <w:t>o</w:t>
      </w:r>
      <w:r w:rsidR="006D0AF8" w:rsidRPr="00951D01">
        <w:rPr>
          <w:sz w:val="24"/>
          <w:szCs w:val="24"/>
        </w:rPr>
        <w:t>,</w:t>
      </w:r>
      <w:r w:rsidRPr="00951D01">
        <w:rPr>
          <w:sz w:val="24"/>
          <w:szCs w:val="24"/>
        </w:rPr>
        <w:t xml:space="preserve"> this </w:t>
      </w:r>
      <w:r w:rsidR="00AD1643" w:rsidRPr="00951D01">
        <w:rPr>
          <w:sz w:val="24"/>
          <w:szCs w:val="24"/>
        </w:rPr>
        <w:t>double-digit</w:t>
      </w:r>
      <w:r w:rsidRPr="00951D01">
        <w:rPr>
          <w:sz w:val="24"/>
          <w:szCs w:val="24"/>
        </w:rPr>
        <w:t xml:space="preserve"> growth is reassuring in the face of recent selloffs. From a valuation perspective, the current S&amp;P 500 forward 12-month price</w:t>
      </w:r>
      <w:r w:rsidR="006D0AF8" w:rsidRPr="00951D01">
        <w:rPr>
          <w:sz w:val="24"/>
          <w:szCs w:val="24"/>
        </w:rPr>
        <w:t>-</w:t>
      </w:r>
      <w:r w:rsidRPr="00951D01">
        <w:rPr>
          <w:sz w:val="24"/>
          <w:szCs w:val="24"/>
        </w:rPr>
        <w:t>to</w:t>
      </w:r>
      <w:r w:rsidR="006D0AF8" w:rsidRPr="00951D01">
        <w:rPr>
          <w:sz w:val="24"/>
          <w:szCs w:val="24"/>
        </w:rPr>
        <w:t>-</w:t>
      </w:r>
      <w:r w:rsidRPr="00951D01">
        <w:rPr>
          <w:sz w:val="24"/>
          <w:szCs w:val="24"/>
        </w:rPr>
        <w:t xml:space="preserve">earnings ratio is now below its </w:t>
      </w:r>
      <w:r w:rsidR="00AD1643" w:rsidRPr="00951D01">
        <w:rPr>
          <w:sz w:val="24"/>
          <w:szCs w:val="24"/>
        </w:rPr>
        <w:t>5</w:t>
      </w:r>
      <w:r w:rsidR="007A2C91" w:rsidRPr="00951D01">
        <w:rPr>
          <w:sz w:val="24"/>
          <w:szCs w:val="24"/>
        </w:rPr>
        <w:t>-</w:t>
      </w:r>
      <w:r w:rsidR="00AD1643" w:rsidRPr="00951D01">
        <w:rPr>
          <w:sz w:val="24"/>
          <w:szCs w:val="24"/>
        </w:rPr>
        <w:t xml:space="preserve"> and 10</w:t>
      </w:r>
      <w:r w:rsidR="007A2C91" w:rsidRPr="00951D01">
        <w:rPr>
          <w:sz w:val="24"/>
          <w:szCs w:val="24"/>
        </w:rPr>
        <w:t>-</w:t>
      </w:r>
      <w:r w:rsidR="00AD1643" w:rsidRPr="00951D01">
        <w:rPr>
          <w:sz w:val="24"/>
          <w:szCs w:val="24"/>
        </w:rPr>
        <w:t>year moving averages</w:t>
      </w:r>
      <w:bookmarkStart w:id="0" w:name="_Hlk534286626"/>
      <w:r w:rsidR="00AA3A3A" w:rsidRPr="00951D01">
        <w:rPr>
          <w:sz w:val="24"/>
          <w:szCs w:val="24"/>
        </w:rPr>
        <w:t>, indicat</w:t>
      </w:r>
      <w:r w:rsidR="00D30216" w:rsidRPr="00951D01">
        <w:rPr>
          <w:sz w:val="24"/>
          <w:szCs w:val="24"/>
        </w:rPr>
        <w:t>ing</w:t>
      </w:r>
      <w:r w:rsidR="00AA3A3A" w:rsidRPr="00951D01">
        <w:rPr>
          <w:sz w:val="24"/>
          <w:szCs w:val="24"/>
        </w:rPr>
        <w:t xml:space="preserve"> that the index is relatively inexpensive compared </w:t>
      </w:r>
      <w:r w:rsidR="00D30216" w:rsidRPr="00951D01">
        <w:rPr>
          <w:sz w:val="24"/>
          <w:szCs w:val="24"/>
        </w:rPr>
        <w:t>with</w:t>
      </w:r>
      <w:r w:rsidR="00AA3A3A" w:rsidRPr="00951D01">
        <w:rPr>
          <w:sz w:val="24"/>
          <w:szCs w:val="24"/>
        </w:rPr>
        <w:t xml:space="preserve"> the recent past. </w:t>
      </w:r>
      <w:bookmarkEnd w:id="0"/>
    </w:p>
    <w:p w14:paraId="00ADDA45" w14:textId="77777777" w:rsidR="008A2A1E" w:rsidRPr="00951D01" w:rsidRDefault="008A2A1E" w:rsidP="00226935">
      <w:pPr>
        <w:spacing w:after="0" w:line="240" w:lineRule="auto"/>
        <w:rPr>
          <w:sz w:val="24"/>
          <w:szCs w:val="24"/>
        </w:rPr>
      </w:pPr>
    </w:p>
    <w:p w14:paraId="289B3A12" w14:textId="168E518F" w:rsidR="008A2A1E" w:rsidRPr="00951D01" w:rsidRDefault="008A2A1E" w:rsidP="00226935">
      <w:pPr>
        <w:spacing w:after="0" w:line="240" w:lineRule="auto"/>
        <w:rPr>
          <w:sz w:val="24"/>
          <w:szCs w:val="24"/>
        </w:rPr>
      </w:pPr>
      <w:r w:rsidRPr="00951D01">
        <w:rPr>
          <w:sz w:val="24"/>
          <w:szCs w:val="24"/>
        </w:rPr>
        <w:t xml:space="preserve">International markets </w:t>
      </w:r>
      <w:r w:rsidR="00852256" w:rsidRPr="00951D01">
        <w:rPr>
          <w:sz w:val="24"/>
          <w:szCs w:val="24"/>
        </w:rPr>
        <w:t xml:space="preserve">also </w:t>
      </w:r>
      <w:r w:rsidRPr="00951D01">
        <w:rPr>
          <w:sz w:val="24"/>
          <w:szCs w:val="24"/>
        </w:rPr>
        <w:t>had a volatile end to the year</w:t>
      </w:r>
      <w:r w:rsidR="00852256" w:rsidRPr="00951D01">
        <w:rPr>
          <w:sz w:val="24"/>
          <w:szCs w:val="24"/>
        </w:rPr>
        <w:t>.</w:t>
      </w:r>
      <w:r w:rsidRPr="00951D01">
        <w:rPr>
          <w:sz w:val="24"/>
          <w:szCs w:val="24"/>
        </w:rPr>
        <w:t xml:space="preserve"> </w:t>
      </w:r>
      <w:r w:rsidR="00852256" w:rsidRPr="00951D01">
        <w:rPr>
          <w:sz w:val="24"/>
          <w:szCs w:val="24"/>
        </w:rPr>
        <w:t>Here,</w:t>
      </w:r>
      <w:r w:rsidRPr="00951D01">
        <w:rPr>
          <w:sz w:val="24"/>
          <w:szCs w:val="24"/>
        </w:rPr>
        <w:t xml:space="preserve"> concerns surrounding slowing growth in China and the ongoing Brexit negotiations </w:t>
      </w:r>
      <w:r w:rsidR="00AD1643" w:rsidRPr="00951D01">
        <w:rPr>
          <w:sz w:val="24"/>
          <w:szCs w:val="24"/>
        </w:rPr>
        <w:t>hit</w:t>
      </w:r>
      <w:r w:rsidRPr="00951D01">
        <w:rPr>
          <w:sz w:val="24"/>
          <w:szCs w:val="24"/>
        </w:rPr>
        <w:t xml:space="preserve"> markets. The MSCI EAFE </w:t>
      </w:r>
      <w:r w:rsidR="007A2C91" w:rsidRPr="00951D01">
        <w:rPr>
          <w:sz w:val="24"/>
          <w:szCs w:val="24"/>
        </w:rPr>
        <w:t>I</w:t>
      </w:r>
      <w:r w:rsidRPr="00951D01">
        <w:rPr>
          <w:sz w:val="24"/>
          <w:szCs w:val="24"/>
        </w:rPr>
        <w:t xml:space="preserve">ndex declined by </w:t>
      </w:r>
      <w:r w:rsidR="00FB4051" w:rsidRPr="00951D01">
        <w:rPr>
          <w:sz w:val="24"/>
          <w:szCs w:val="24"/>
        </w:rPr>
        <w:t>4.85</w:t>
      </w:r>
      <w:r w:rsidRPr="00951D01">
        <w:rPr>
          <w:sz w:val="24"/>
          <w:szCs w:val="24"/>
        </w:rPr>
        <w:t xml:space="preserve"> percent for the month, </w:t>
      </w:r>
      <w:r w:rsidR="00FB4051" w:rsidRPr="00951D01">
        <w:rPr>
          <w:sz w:val="24"/>
          <w:szCs w:val="24"/>
        </w:rPr>
        <w:t xml:space="preserve">12.54 </w:t>
      </w:r>
      <w:r w:rsidRPr="00951D01">
        <w:rPr>
          <w:sz w:val="24"/>
          <w:szCs w:val="24"/>
        </w:rPr>
        <w:t xml:space="preserve">percent for the quarter, and </w:t>
      </w:r>
      <w:r w:rsidR="00FB4051" w:rsidRPr="00951D01">
        <w:rPr>
          <w:sz w:val="24"/>
          <w:szCs w:val="24"/>
        </w:rPr>
        <w:t>13.79</w:t>
      </w:r>
      <w:r w:rsidRPr="00951D01">
        <w:rPr>
          <w:sz w:val="24"/>
          <w:szCs w:val="24"/>
        </w:rPr>
        <w:t xml:space="preserve"> percent for the year. The MSCI Emerging Markets </w:t>
      </w:r>
      <w:r w:rsidR="007A2C91" w:rsidRPr="00951D01">
        <w:rPr>
          <w:sz w:val="24"/>
          <w:szCs w:val="24"/>
        </w:rPr>
        <w:t>I</w:t>
      </w:r>
      <w:r w:rsidRPr="00951D01">
        <w:rPr>
          <w:sz w:val="24"/>
          <w:szCs w:val="24"/>
        </w:rPr>
        <w:t xml:space="preserve">ndex </w:t>
      </w:r>
      <w:r w:rsidR="001E4EC1" w:rsidRPr="00951D01">
        <w:rPr>
          <w:sz w:val="24"/>
          <w:szCs w:val="24"/>
        </w:rPr>
        <w:t>saw</w:t>
      </w:r>
      <w:r w:rsidRPr="00951D01">
        <w:rPr>
          <w:sz w:val="24"/>
          <w:szCs w:val="24"/>
        </w:rPr>
        <w:t xml:space="preserve"> losses of </w:t>
      </w:r>
      <w:r w:rsidR="00FB4051" w:rsidRPr="00951D01">
        <w:rPr>
          <w:sz w:val="24"/>
          <w:szCs w:val="24"/>
        </w:rPr>
        <w:t>2.60</w:t>
      </w:r>
      <w:r w:rsidRPr="00951D01">
        <w:rPr>
          <w:sz w:val="24"/>
          <w:szCs w:val="24"/>
        </w:rPr>
        <w:t xml:space="preserve"> percent, </w:t>
      </w:r>
      <w:r w:rsidR="00FB4051" w:rsidRPr="00951D01">
        <w:rPr>
          <w:sz w:val="24"/>
          <w:szCs w:val="24"/>
        </w:rPr>
        <w:t>7.40</w:t>
      </w:r>
      <w:r w:rsidRPr="00951D01">
        <w:rPr>
          <w:sz w:val="24"/>
          <w:szCs w:val="24"/>
        </w:rPr>
        <w:t xml:space="preserve"> percent, and </w:t>
      </w:r>
      <w:r w:rsidR="00FB4051" w:rsidRPr="00951D01">
        <w:rPr>
          <w:sz w:val="24"/>
          <w:szCs w:val="24"/>
        </w:rPr>
        <w:t xml:space="preserve">14.25 </w:t>
      </w:r>
      <w:r w:rsidRPr="00951D01">
        <w:rPr>
          <w:sz w:val="24"/>
          <w:szCs w:val="24"/>
        </w:rPr>
        <w:t>percent over the same time period</w:t>
      </w:r>
      <w:r w:rsidR="00AD1643" w:rsidRPr="00951D01">
        <w:rPr>
          <w:sz w:val="24"/>
          <w:szCs w:val="24"/>
        </w:rPr>
        <w:t>s</w:t>
      </w:r>
      <w:r w:rsidRPr="00951D01">
        <w:rPr>
          <w:sz w:val="24"/>
          <w:szCs w:val="24"/>
        </w:rPr>
        <w:t xml:space="preserve">. </w:t>
      </w:r>
      <w:r w:rsidR="00AD1643" w:rsidRPr="00951D01">
        <w:rPr>
          <w:sz w:val="24"/>
          <w:szCs w:val="24"/>
        </w:rPr>
        <w:t>Technically</w:t>
      </w:r>
      <w:r w:rsidR="007A2C91" w:rsidRPr="00951D01">
        <w:rPr>
          <w:sz w:val="24"/>
          <w:szCs w:val="24"/>
        </w:rPr>
        <w:t>,</w:t>
      </w:r>
      <w:r w:rsidR="00AD1643" w:rsidRPr="00951D01">
        <w:rPr>
          <w:sz w:val="24"/>
          <w:szCs w:val="24"/>
        </w:rPr>
        <w:t xml:space="preserve"> both indices remained well below their respective 200-day moving averages. </w:t>
      </w:r>
    </w:p>
    <w:p w14:paraId="660F966F" w14:textId="77777777" w:rsidR="008A2A1E" w:rsidRPr="00951D01" w:rsidRDefault="008A2A1E" w:rsidP="00226935">
      <w:pPr>
        <w:spacing w:after="0" w:line="240" w:lineRule="auto"/>
        <w:rPr>
          <w:sz w:val="24"/>
          <w:szCs w:val="24"/>
        </w:rPr>
      </w:pPr>
    </w:p>
    <w:p w14:paraId="7F0B1A1E" w14:textId="715A08E1" w:rsidR="00DC45BA" w:rsidRPr="00951D01" w:rsidRDefault="008A2A1E" w:rsidP="00226935">
      <w:pPr>
        <w:spacing w:after="0" w:line="240" w:lineRule="auto"/>
        <w:rPr>
          <w:sz w:val="24"/>
          <w:szCs w:val="24"/>
        </w:rPr>
      </w:pPr>
      <w:r w:rsidRPr="00951D01">
        <w:rPr>
          <w:sz w:val="24"/>
          <w:szCs w:val="24"/>
        </w:rPr>
        <w:t xml:space="preserve">Fixed income had a better end to </w:t>
      </w:r>
      <w:r w:rsidR="00E97562" w:rsidRPr="00951D01">
        <w:rPr>
          <w:sz w:val="24"/>
          <w:szCs w:val="24"/>
        </w:rPr>
        <w:t>2018</w:t>
      </w:r>
      <w:r w:rsidR="0013717B" w:rsidRPr="00951D01">
        <w:rPr>
          <w:sz w:val="24"/>
          <w:szCs w:val="24"/>
        </w:rPr>
        <w:t>,</w:t>
      </w:r>
      <w:r w:rsidRPr="00951D01">
        <w:rPr>
          <w:sz w:val="24"/>
          <w:szCs w:val="24"/>
        </w:rPr>
        <w:t xml:space="preserve"> </w:t>
      </w:r>
      <w:r w:rsidR="0013717B" w:rsidRPr="00951D01">
        <w:rPr>
          <w:sz w:val="24"/>
          <w:szCs w:val="24"/>
        </w:rPr>
        <w:t>although the</w:t>
      </w:r>
      <w:r w:rsidRPr="00951D01">
        <w:rPr>
          <w:sz w:val="24"/>
          <w:szCs w:val="24"/>
        </w:rPr>
        <w:t xml:space="preserve"> annual results were disappointing. The Bloomberg Barclays U</w:t>
      </w:r>
      <w:r w:rsidR="00BD521E" w:rsidRPr="00951D01">
        <w:rPr>
          <w:sz w:val="24"/>
          <w:szCs w:val="24"/>
        </w:rPr>
        <w:t>.</w:t>
      </w:r>
      <w:r w:rsidR="00FB4051" w:rsidRPr="00951D01">
        <w:rPr>
          <w:sz w:val="24"/>
          <w:szCs w:val="24"/>
        </w:rPr>
        <w:t>S</w:t>
      </w:r>
      <w:r w:rsidR="00BD521E" w:rsidRPr="00951D01">
        <w:rPr>
          <w:sz w:val="24"/>
          <w:szCs w:val="24"/>
        </w:rPr>
        <w:t>.</w:t>
      </w:r>
      <w:r w:rsidR="00FB4051" w:rsidRPr="00951D01">
        <w:rPr>
          <w:sz w:val="24"/>
          <w:szCs w:val="24"/>
        </w:rPr>
        <w:t xml:space="preserve"> Aggregate </w:t>
      </w:r>
      <w:r w:rsidR="00BD521E" w:rsidRPr="00951D01">
        <w:rPr>
          <w:sz w:val="24"/>
          <w:szCs w:val="24"/>
        </w:rPr>
        <w:t>B</w:t>
      </w:r>
      <w:r w:rsidR="00FB4051" w:rsidRPr="00951D01">
        <w:rPr>
          <w:sz w:val="24"/>
          <w:szCs w:val="24"/>
        </w:rPr>
        <w:t xml:space="preserve">ond </w:t>
      </w:r>
      <w:r w:rsidR="00BD521E" w:rsidRPr="00951D01">
        <w:rPr>
          <w:sz w:val="24"/>
          <w:szCs w:val="24"/>
        </w:rPr>
        <w:t>I</w:t>
      </w:r>
      <w:r w:rsidR="00FB4051" w:rsidRPr="00951D01">
        <w:rPr>
          <w:sz w:val="24"/>
          <w:szCs w:val="24"/>
        </w:rPr>
        <w:t>ndex gained 1.84</w:t>
      </w:r>
      <w:r w:rsidRPr="00951D01">
        <w:rPr>
          <w:sz w:val="24"/>
          <w:szCs w:val="24"/>
        </w:rPr>
        <w:t xml:space="preserve"> percent in December and </w:t>
      </w:r>
      <w:r w:rsidR="00FB4051" w:rsidRPr="00951D01">
        <w:rPr>
          <w:sz w:val="24"/>
          <w:szCs w:val="24"/>
        </w:rPr>
        <w:t xml:space="preserve">1.64 </w:t>
      </w:r>
      <w:r w:rsidRPr="00951D01">
        <w:rPr>
          <w:sz w:val="24"/>
          <w:szCs w:val="24"/>
        </w:rPr>
        <w:t>percent in the fourth quarter</w:t>
      </w:r>
      <w:r w:rsidR="00C66640" w:rsidRPr="00951D01">
        <w:rPr>
          <w:sz w:val="24"/>
          <w:szCs w:val="24"/>
        </w:rPr>
        <w:t>,</w:t>
      </w:r>
      <w:r w:rsidRPr="00951D01">
        <w:rPr>
          <w:sz w:val="24"/>
          <w:szCs w:val="24"/>
        </w:rPr>
        <w:t xml:space="preserve"> as rates fell to end the year. The </w:t>
      </w:r>
      <w:r w:rsidR="00DC45BA" w:rsidRPr="00951D01">
        <w:rPr>
          <w:sz w:val="24"/>
          <w:szCs w:val="24"/>
        </w:rPr>
        <w:t>10</w:t>
      </w:r>
      <w:r w:rsidR="00BD521E" w:rsidRPr="00951D01">
        <w:rPr>
          <w:sz w:val="24"/>
          <w:szCs w:val="24"/>
        </w:rPr>
        <w:t>-</w:t>
      </w:r>
      <w:r w:rsidR="00DC45BA" w:rsidRPr="00951D01">
        <w:rPr>
          <w:sz w:val="24"/>
          <w:szCs w:val="24"/>
        </w:rPr>
        <w:t>year U</w:t>
      </w:r>
      <w:r w:rsidR="00BD521E" w:rsidRPr="00951D01">
        <w:rPr>
          <w:sz w:val="24"/>
          <w:szCs w:val="24"/>
        </w:rPr>
        <w:t>.</w:t>
      </w:r>
      <w:r w:rsidR="00DC45BA" w:rsidRPr="00951D01">
        <w:rPr>
          <w:sz w:val="24"/>
          <w:szCs w:val="24"/>
        </w:rPr>
        <w:t>S</w:t>
      </w:r>
      <w:r w:rsidR="00BD521E" w:rsidRPr="00951D01">
        <w:rPr>
          <w:sz w:val="24"/>
          <w:szCs w:val="24"/>
        </w:rPr>
        <w:t>.</w:t>
      </w:r>
      <w:r w:rsidR="00DC45BA" w:rsidRPr="00951D01">
        <w:rPr>
          <w:sz w:val="24"/>
          <w:szCs w:val="24"/>
        </w:rPr>
        <w:t xml:space="preserve"> Treasury yield was very volatile in 2018</w:t>
      </w:r>
      <w:r w:rsidR="00E15627" w:rsidRPr="00951D01">
        <w:rPr>
          <w:sz w:val="24"/>
          <w:szCs w:val="24"/>
        </w:rPr>
        <w:t>.</w:t>
      </w:r>
      <w:r w:rsidR="00DC45BA" w:rsidRPr="00951D01">
        <w:rPr>
          <w:sz w:val="24"/>
          <w:szCs w:val="24"/>
        </w:rPr>
        <w:t xml:space="preserve"> </w:t>
      </w:r>
      <w:r w:rsidR="00E15627" w:rsidRPr="00951D01">
        <w:rPr>
          <w:sz w:val="24"/>
          <w:szCs w:val="24"/>
        </w:rPr>
        <w:t xml:space="preserve">It </w:t>
      </w:r>
      <w:r w:rsidR="00DC45BA" w:rsidRPr="00951D01">
        <w:rPr>
          <w:sz w:val="24"/>
          <w:szCs w:val="24"/>
        </w:rPr>
        <w:t>start</w:t>
      </w:r>
      <w:r w:rsidR="00E15627" w:rsidRPr="00951D01">
        <w:rPr>
          <w:sz w:val="24"/>
          <w:szCs w:val="24"/>
        </w:rPr>
        <w:t>ed</w:t>
      </w:r>
      <w:r w:rsidR="00DC45BA" w:rsidRPr="00951D01">
        <w:rPr>
          <w:sz w:val="24"/>
          <w:szCs w:val="24"/>
        </w:rPr>
        <w:t xml:space="preserve"> the year at 2.46 percent</w:t>
      </w:r>
      <w:r w:rsidR="00E15627" w:rsidRPr="00951D01">
        <w:rPr>
          <w:sz w:val="24"/>
          <w:szCs w:val="24"/>
        </w:rPr>
        <w:t>,</w:t>
      </w:r>
      <w:r w:rsidR="00DC45BA" w:rsidRPr="00951D01">
        <w:rPr>
          <w:sz w:val="24"/>
          <w:szCs w:val="24"/>
        </w:rPr>
        <w:t xml:space="preserve"> hit a high of 3.24 percent in November</w:t>
      </w:r>
      <w:r w:rsidR="00E15627" w:rsidRPr="00951D01">
        <w:rPr>
          <w:sz w:val="24"/>
          <w:szCs w:val="24"/>
        </w:rPr>
        <w:t>,</w:t>
      </w:r>
      <w:r w:rsidR="00DC45BA" w:rsidRPr="00951D01">
        <w:rPr>
          <w:sz w:val="24"/>
          <w:szCs w:val="24"/>
        </w:rPr>
        <w:t xml:space="preserve"> and finish</w:t>
      </w:r>
      <w:r w:rsidR="00E15627" w:rsidRPr="00951D01">
        <w:rPr>
          <w:sz w:val="24"/>
          <w:szCs w:val="24"/>
        </w:rPr>
        <w:t>ed</w:t>
      </w:r>
      <w:r w:rsidR="00DC45BA" w:rsidRPr="00951D01">
        <w:rPr>
          <w:sz w:val="24"/>
          <w:szCs w:val="24"/>
        </w:rPr>
        <w:t xml:space="preserve"> the year at 2.69 percent. </w:t>
      </w:r>
      <w:r w:rsidR="008F5A4C" w:rsidRPr="00951D01">
        <w:rPr>
          <w:sz w:val="24"/>
          <w:szCs w:val="24"/>
        </w:rPr>
        <w:t>But</w:t>
      </w:r>
      <w:r w:rsidR="00DC45BA" w:rsidRPr="00951D01">
        <w:rPr>
          <w:sz w:val="24"/>
          <w:szCs w:val="24"/>
        </w:rPr>
        <w:t xml:space="preserve"> the </w:t>
      </w:r>
      <w:r w:rsidR="00AD1643" w:rsidRPr="00951D01">
        <w:rPr>
          <w:sz w:val="24"/>
          <w:szCs w:val="24"/>
        </w:rPr>
        <w:t>large</w:t>
      </w:r>
      <w:r w:rsidR="00DC45BA" w:rsidRPr="00951D01">
        <w:rPr>
          <w:sz w:val="24"/>
          <w:szCs w:val="24"/>
        </w:rPr>
        <w:t xml:space="preserve"> decline in yields at year</w:t>
      </w:r>
      <w:r w:rsidR="00BD521E" w:rsidRPr="00951D01">
        <w:rPr>
          <w:sz w:val="24"/>
          <w:szCs w:val="24"/>
        </w:rPr>
        <w:t>-</w:t>
      </w:r>
      <w:r w:rsidR="00DC45BA" w:rsidRPr="00951D01">
        <w:rPr>
          <w:sz w:val="24"/>
          <w:szCs w:val="24"/>
        </w:rPr>
        <w:t xml:space="preserve">end was </w:t>
      </w:r>
      <w:r w:rsidR="00AD1643" w:rsidRPr="00951D01">
        <w:rPr>
          <w:sz w:val="24"/>
          <w:szCs w:val="24"/>
        </w:rPr>
        <w:t>barely</w:t>
      </w:r>
      <w:r w:rsidR="00DC45BA" w:rsidRPr="00951D01">
        <w:rPr>
          <w:sz w:val="24"/>
          <w:szCs w:val="24"/>
        </w:rPr>
        <w:t xml:space="preserve"> enough to offset earlier volatility</w:t>
      </w:r>
      <w:r w:rsidR="008F5A4C" w:rsidRPr="00951D01">
        <w:rPr>
          <w:sz w:val="24"/>
          <w:szCs w:val="24"/>
        </w:rPr>
        <w:t>.</w:t>
      </w:r>
      <w:r w:rsidR="00DC45BA" w:rsidRPr="00951D01">
        <w:rPr>
          <w:sz w:val="24"/>
          <w:szCs w:val="24"/>
        </w:rPr>
        <w:t xml:space="preserve"> </w:t>
      </w:r>
      <w:r w:rsidR="008F5A4C" w:rsidRPr="00951D01">
        <w:rPr>
          <w:sz w:val="24"/>
          <w:szCs w:val="24"/>
        </w:rPr>
        <w:t>In fact, t</w:t>
      </w:r>
      <w:r w:rsidR="00DC45BA" w:rsidRPr="00951D01">
        <w:rPr>
          <w:sz w:val="24"/>
          <w:szCs w:val="24"/>
        </w:rPr>
        <w:t xml:space="preserve">he index </w:t>
      </w:r>
      <w:r w:rsidR="00C93B74" w:rsidRPr="00951D01">
        <w:rPr>
          <w:sz w:val="24"/>
          <w:szCs w:val="24"/>
        </w:rPr>
        <w:t>eke</w:t>
      </w:r>
      <w:r w:rsidR="008F5A4C" w:rsidRPr="00951D01">
        <w:rPr>
          <w:sz w:val="24"/>
          <w:szCs w:val="24"/>
        </w:rPr>
        <w:t>d</w:t>
      </w:r>
      <w:r w:rsidR="00DC45BA" w:rsidRPr="00951D01">
        <w:rPr>
          <w:sz w:val="24"/>
          <w:szCs w:val="24"/>
        </w:rPr>
        <w:t xml:space="preserve"> out </w:t>
      </w:r>
      <w:r w:rsidR="00140918" w:rsidRPr="00951D01">
        <w:rPr>
          <w:sz w:val="24"/>
          <w:szCs w:val="24"/>
        </w:rPr>
        <w:t>a</w:t>
      </w:r>
      <w:r w:rsidR="00DC45BA" w:rsidRPr="00951D01">
        <w:rPr>
          <w:sz w:val="24"/>
          <w:szCs w:val="24"/>
        </w:rPr>
        <w:t xml:space="preserve"> gain of </w:t>
      </w:r>
      <w:r w:rsidR="00661355" w:rsidRPr="00951D01">
        <w:rPr>
          <w:sz w:val="24"/>
          <w:szCs w:val="24"/>
        </w:rPr>
        <w:t xml:space="preserve">only </w:t>
      </w:r>
      <w:r w:rsidR="00FB4051" w:rsidRPr="00951D01">
        <w:rPr>
          <w:sz w:val="24"/>
          <w:szCs w:val="24"/>
        </w:rPr>
        <w:t>0.01</w:t>
      </w:r>
      <w:r w:rsidR="00DC45BA" w:rsidRPr="00951D01">
        <w:rPr>
          <w:sz w:val="24"/>
          <w:szCs w:val="24"/>
        </w:rPr>
        <w:t xml:space="preserve"> percent for the year. The Federal Reserve</w:t>
      </w:r>
      <w:r w:rsidR="00AD1643" w:rsidRPr="00951D01">
        <w:rPr>
          <w:sz w:val="24"/>
          <w:szCs w:val="24"/>
        </w:rPr>
        <w:t xml:space="preserve"> (Fed)</w:t>
      </w:r>
      <w:r w:rsidR="00DC45BA" w:rsidRPr="00951D01">
        <w:rPr>
          <w:sz w:val="24"/>
          <w:szCs w:val="24"/>
        </w:rPr>
        <w:t xml:space="preserve"> raised rates three times in 2018, as the unemployment rat</w:t>
      </w:r>
      <w:r w:rsidR="00AD1643" w:rsidRPr="00951D01">
        <w:rPr>
          <w:sz w:val="24"/>
          <w:szCs w:val="24"/>
        </w:rPr>
        <w:t xml:space="preserve">e remains at multidecade lows and inflation measures </w:t>
      </w:r>
      <w:r w:rsidR="008F5A4C" w:rsidRPr="00951D01">
        <w:rPr>
          <w:sz w:val="24"/>
          <w:szCs w:val="24"/>
        </w:rPr>
        <w:t>are</w:t>
      </w:r>
      <w:r w:rsidR="00C93B74" w:rsidRPr="00951D01">
        <w:rPr>
          <w:sz w:val="24"/>
          <w:szCs w:val="24"/>
        </w:rPr>
        <w:t xml:space="preserve"> above</w:t>
      </w:r>
      <w:r w:rsidR="00AD1643" w:rsidRPr="00951D01">
        <w:rPr>
          <w:sz w:val="24"/>
          <w:szCs w:val="24"/>
        </w:rPr>
        <w:t xml:space="preserve"> the Fed’s target range. </w:t>
      </w:r>
    </w:p>
    <w:p w14:paraId="67F5E7BC" w14:textId="77777777" w:rsidR="00DC45BA" w:rsidRPr="00951D01" w:rsidRDefault="00DC45BA" w:rsidP="00226935">
      <w:pPr>
        <w:spacing w:after="0" w:line="240" w:lineRule="auto"/>
        <w:rPr>
          <w:sz w:val="24"/>
          <w:szCs w:val="24"/>
        </w:rPr>
      </w:pPr>
    </w:p>
    <w:p w14:paraId="5FC7F46E" w14:textId="7365141C" w:rsidR="008A2A1E" w:rsidRPr="00951D01" w:rsidRDefault="00DC45BA" w:rsidP="00226935">
      <w:pPr>
        <w:spacing w:after="0" w:line="240" w:lineRule="auto"/>
        <w:rPr>
          <w:sz w:val="24"/>
          <w:szCs w:val="24"/>
        </w:rPr>
      </w:pPr>
      <w:r w:rsidRPr="00951D01">
        <w:rPr>
          <w:sz w:val="24"/>
          <w:szCs w:val="24"/>
        </w:rPr>
        <w:t>High</w:t>
      </w:r>
      <w:r w:rsidR="00AB796D" w:rsidRPr="00951D01">
        <w:rPr>
          <w:sz w:val="24"/>
          <w:szCs w:val="24"/>
        </w:rPr>
        <w:t>-</w:t>
      </w:r>
      <w:r w:rsidRPr="00951D01">
        <w:rPr>
          <w:sz w:val="24"/>
          <w:szCs w:val="24"/>
        </w:rPr>
        <w:t xml:space="preserve">yield fixed income, which is typically less </w:t>
      </w:r>
      <w:r w:rsidR="00AB796D" w:rsidRPr="00951D01">
        <w:rPr>
          <w:sz w:val="24"/>
          <w:szCs w:val="24"/>
        </w:rPr>
        <w:t>affected</w:t>
      </w:r>
      <w:r w:rsidRPr="00951D01">
        <w:rPr>
          <w:sz w:val="24"/>
          <w:szCs w:val="24"/>
        </w:rPr>
        <w:t xml:space="preserve"> by rates, had a rough end </w:t>
      </w:r>
      <w:r w:rsidR="00FB4051" w:rsidRPr="00951D01">
        <w:rPr>
          <w:sz w:val="24"/>
          <w:szCs w:val="24"/>
        </w:rPr>
        <w:t>to the year</w:t>
      </w:r>
      <w:r w:rsidR="00B24C99" w:rsidRPr="00951D01">
        <w:rPr>
          <w:sz w:val="24"/>
          <w:szCs w:val="24"/>
        </w:rPr>
        <w:t>.</w:t>
      </w:r>
      <w:r w:rsidR="00FB4051" w:rsidRPr="00951D01">
        <w:rPr>
          <w:sz w:val="24"/>
          <w:szCs w:val="24"/>
        </w:rPr>
        <w:t xml:space="preserve"> </w:t>
      </w:r>
      <w:r w:rsidR="00B24C99" w:rsidRPr="00951D01">
        <w:rPr>
          <w:sz w:val="24"/>
          <w:szCs w:val="24"/>
        </w:rPr>
        <w:t>It saw</w:t>
      </w:r>
      <w:r w:rsidR="00FB4051" w:rsidRPr="00951D01">
        <w:rPr>
          <w:sz w:val="24"/>
          <w:szCs w:val="24"/>
        </w:rPr>
        <w:t xml:space="preserve"> a loss of 2.14</w:t>
      </w:r>
      <w:r w:rsidRPr="00951D01">
        <w:rPr>
          <w:sz w:val="24"/>
          <w:szCs w:val="24"/>
        </w:rPr>
        <w:t xml:space="preserve"> percent in December</w:t>
      </w:r>
      <w:r w:rsidR="00B24C99" w:rsidRPr="00951D01">
        <w:rPr>
          <w:sz w:val="24"/>
          <w:szCs w:val="24"/>
        </w:rPr>
        <w:t>,</w:t>
      </w:r>
      <w:r w:rsidRPr="00951D01">
        <w:rPr>
          <w:sz w:val="24"/>
          <w:szCs w:val="24"/>
        </w:rPr>
        <w:t xml:space="preserve"> leading to a quarterly loss of </w:t>
      </w:r>
      <w:r w:rsidR="00FB4051" w:rsidRPr="00951D01">
        <w:rPr>
          <w:sz w:val="24"/>
          <w:szCs w:val="24"/>
        </w:rPr>
        <w:t xml:space="preserve">4.53 </w:t>
      </w:r>
      <w:r w:rsidRPr="00951D01">
        <w:rPr>
          <w:sz w:val="24"/>
          <w:szCs w:val="24"/>
        </w:rPr>
        <w:t xml:space="preserve">percent and an annual loss of </w:t>
      </w:r>
      <w:r w:rsidR="00FB4051" w:rsidRPr="00951D01">
        <w:rPr>
          <w:sz w:val="24"/>
          <w:szCs w:val="24"/>
        </w:rPr>
        <w:t>2.08</w:t>
      </w:r>
      <w:r w:rsidRPr="00951D01">
        <w:rPr>
          <w:sz w:val="24"/>
          <w:szCs w:val="24"/>
        </w:rPr>
        <w:t xml:space="preserve"> percent. </w:t>
      </w:r>
      <w:r w:rsidR="00B24C99" w:rsidRPr="00951D01">
        <w:rPr>
          <w:sz w:val="24"/>
          <w:szCs w:val="24"/>
        </w:rPr>
        <w:t>High-yield spreads have</w:t>
      </w:r>
      <w:r w:rsidRPr="00951D01">
        <w:rPr>
          <w:sz w:val="24"/>
          <w:szCs w:val="24"/>
        </w:rPr>
        <w:t xml:space="preserve"> spen</w:t>
      </w:r>
      <w:r w:rsidR="00B24C99" w:rsidRPr="00951D01">
        <w:rPr>
          <w:sz w:val="24"/>
          <w:szCs w:val="24"/>
        </w:rPr>
        <w:t>t</w:t>
      </w:r>
      <w:r w:rsidRPr="00951D01">
        <w:rPr>
          <w:sz w:val="24"/>
          <w:szCs w:val="24"/>
        </w:rPr>
        <w:t xml:space="preserve"> the past two years largely range bound</w:t>
      </w:r>
      <w:bookmarkStart w:id="1" w:name="_Hlk534264458"/>
      <w:r w:rsidR="00B24C99" w:rsidRPr="00951D01">
        <w:rPr>
          <w:sz w:val="24"/>
          <w:szCs w:val="24"/>
        </w:rPr>
        <w:t>.</w:t>
      </w:r>
      <w:r w:rsidRPr="00951D01">
        <w:rPr>
          <w:sz w:val="24"/>
          <w:szCs w:val="24"/>
        </w:rPr>
        <w:t xml:space="preserve"> </w:t>
      </w:r>
      <w:r w:rsidR="00B24C99" w:rsidRPr="00951D01">
        <w:rPr>
          <w:sz w:val="24"/>
          <w:szCs w:val="24"/>
        </w:rPr>
        <w:t xml:space="preserve">But </w:t>
      </w:r>
      <w:bookmarkEnd w:id="1"/>
      <w:r w:rsidR="00B24C99" w:rsidRPr="00951D01">
        <w:rPr>
          <w:sz w:val="24"/>
          <w:szCs w:val="24"/>
        </w:rPr>
        <w:t>they</w:t>
      </w:r>
      <w:r w:rsidRPr="00951D01">
        <w:rPr>
          <w:sz w:val="24"/>
          <w:szCs w:val="24"/>
        </w:rPr>
        <w:t xml:space="preserve"> increased dramatically in December, as investors reevaluated the risk</w:t>
      </w:r>
      <w:r w:rsidR="00B24C99" w:rsidRPr="00951D01">
        <w:rPr>
          <w:sz w:val="24"/>
          <w:szCs w:val="24"/>
        </w:rPr>
        <w:t>-</w:t>
      </w:r>
      <w:r w:rsidRPr="00951D01">
        <w:rPr>
          <w:sz w:val="24"/>
          <w:szCs w:val="24"/>
        </w:rPr>
        <w:t>and</w:t>
      </w:r>
      <w:r w:rsidR="00B24C99" w:rsidRPr="00951D01">
        <w:rPr>
          <w:sz w:val="24"/>
          <w:szCs w:val="24"/>
        </w:rPr>
        <w:t>-</w:t>
      </w:r>
      <w:r w:rsidRPr="00951D01">
        <w:rPr>
          <w:sz w:val="24"/>
          <w:szCs w:val="24"/>
        </w:rPr>
        <w:t>reward potential for the asset class.</w:t>
      </w:r>
    </w:p>
    <w:p w14:paraId="14F917B3" w14:textId="77777777" w:rsidR="00DD275C" w:rsidRPr="00951D01" w:rsidRDefault="00DD275C" w:rsidP="00226935">
      <w:pPr>
        <w:spacing w:after="0" w:line="240" w:lineRule="auto"/>
        <w:rPr>
          <w:sz w:val="24"/>
          <w:szCs w:val="24"/>
        </w:rPr>
      </w:pPr>
    </w:p>
    <w:p w14:paraId="330EEB8B" w14:textId="77777777" w:rsidR="00DD275C" w:rsidRPr="00951D01" w:rsidRDefault="00DD275C" w:rsidP="00226935">
      <w:pPr>
        <w:spacing w:after="0" w:line="240" w:lineRule="auto"/>
        <w:rPr>
          <w:color w:val="333399"/>
          <w:sz w:val="24"/>
          <w:szCs w:val="24"/>
        </w:rPr>
      </w:pPr>
      <w:r w:rsidRPr="00951D01">
        <w:rPr>
          <w:b/>
          <w:color w:val="333399"/>
          <w:sz w:val="24"/>
          <w:szCs w:val="24"/>
        </w:rPr>
        <w:t xml:space="preserve">Economic </w:t>
      </w:r>
      <w:r w:rsidR="00C93B74" w:rsidRPr="00951D01">
        <w:rPr>
          <w:b/>
          <w:color w:val="333399"/>
          <w:sz w:val="24"/>
          <w:szCs w:val="24"/>
        </w:rPr>
        <w:t>growth continues</w:t>
      </w:r>
    </w:p>
    <w:p w14:paraId="5E6F1234" w14:textId="4558A368" w:rsidR="00DD275C" w:rsidRPr="00951D01" w:rsidRDefault="00DE63F2" w:rsidP="00226935">
      <w:pPr>
        <w:spacing w:after="0" w:line="240" w:lineRule="auto"/>
        <w:rPr>
          <w:sz w:val="24"/>
          <w:szCs w:val="24"/>
        </w:rPr>
      </w:pPr>
      <w:r w:rsidRPr="00951D01">
        <w:rPr>
          <w:sz w:val="24"/>
          <w:szCs w:val="24"/>
        </w:rPr>
        <w:t>Financial markets do not define the economy. So, d</w:t>
      </w:r>
      <w:r w:rsidR="00C93B74" w:rsidRPr="00951D01">
        <w:rPr>
          <w:sz w:val="24"/>
          <w:szCs w:val="24"/>
        </w:rPr>
        <w:t xml:space="preserve">espite </w:t>
      </w:r>
      <w:r w:rsidR="00AB796D" w:rsidRPr="00951D01">
        <w:rPr>
          <w:sz w:val="24"/>
          <w:szCs w:val="24"/>
        </w:rPr>
        <w:t>the p</w:t>
      </w:r>
      <w:r w:rsidR="00DD275C" w:rsidRPr="00951D01">
        <w:rPr>
          <w:sz w:val="24"/>
          <w:szCs w:val="24"/>
        </w:rPr>
        <w:t>ast few months of market volatility</w:t>
      </w:r>
      <w:r w:rsidR="00C93B74" w:rsidRPr="00951D01">
        <w:rPr>
          <w:sz w:val="24"/>
          <w:szCs w:val="24"/>
        </w:rPr>
        <w:t>, the economy remains solid</w:t>
      </w:r>
      <w:r w:rsidR="00DC45BA" w:rsidRPr="00951D01">
        <w:rPr>
          <w:sz w:val="24"/>
          <w:szCs w:val="24"/>
        </w:rPr>
        <w:t xml:space="preserve">. When </w:t>
      </w:r>
      <w:r w:rsidR="00C93B74" w:rsidRPr="00951D01">
        <w:rPr>
          <w:sz w:val="24"/>
          <w:szCs w:val="24"/>
        </w:rPr>
        <w:t xml:space="preserve">we look at the </w:t>
      </w:r>
      <w:r w:rsidR="00DC45BA" w:rsidRPr="00951D01">
        <w:rPr>
          <w:sz w:val="24"/>
          <w:szCs w:val="24"/>
        </w:rPr>
        <w:t xml:space="preserve">economic fundamentals, there is still reason for optimism as we head into 2019. </w:t>
      </w:r>
    </w:p>
    <w:p w14:paraId="661A4581" w14:textId="77777777" w:rsidR="001476D0" w:rsidRPr="00951D01" w:rsidRDefault="001476D0" w:rsidP="00226935">
      <w:pPr>
        <w:spacing w:after="0" w:line="240" w:lineRule="auto"/>
        <w:rPr>
          <w:sz w:val="24"/>
          <w:szCs w:val="24"/>
        </w:rPr>
      </w:pPr>
    </w:p>
    <w:p w14:paraId="18E9664B" w14:textId="34322963" w:rsidR="00DC45BA" w:rsidRPr="00951D01" w:rsidRDefault="00AD1643" w:rsidP="00226935">
      <w:pPr>
        <w:spacing w:after="0" w:line="240" w:lineRule="auto"/>
        <w:rPr>
          <w:sz w:val="24"/>
          <w:szCs w:val="24"/>
        </w:rPr>
      </w:pPr>
      <w:r w:rsidRPr="00951D01">
        <w:rPr>
          <w:sz w:val="24"/>
          <w:szCs w:val="24"/>
        </w:rPr>
        <w:t>T</w:t>
      </w:r>
      <w:r w:rsidR="00086637" w:rsidRPr="00951D01">
        <w:rPr>
          <w:sz w:val="24"/>
          <w:szCs w:val="24"/>
        </w:rPr>
        <w:t>he driver of the current expansion,</w:t>
      </w:r>
      <w:r w:rsidRPr="00951D01">
        <w:rPr>
          <w:sz w:val="24"/>
          <w:szCs w:val="24"/>
        </w:rPr>
        <w:t xml:space="preserve"> the U</w:t>
      </w:r>
      <w:r w:rsidR="00AB796D" w:rsidRPr="00951D01">
        <w:rPr>
          <w:sz w:val="24"/>
          <w:szCs w:val="24"/>
        </w:rPr>
        <w:t>.</w:t>
      </w:r>
      <w:r w:rsidRPr="00951D01">
        <w:rPr>
          <w:sz w:val="24"/>
          <w:szCs w:val="24"/>
        </w:rPr>
        <w:t>S</w:t>
      </w:r>
      <w:r w:rsidR="00AB796D" w:rsidRPr="00951D01">
        <w:rPr>
          <w:sz w:val="24"/>
          <w:szCs w:val="24"/>
        </w:rPr>
        <w:t>.</w:t>
      </w:r>
      <w:r w:rsidRPr="00951D01">
        <w:rPr>
          <w:sz w:val="24"/>
          <w:szCs w:val="24"/>
        </w:rPr>
        <w:t xml:space="preserve"> consumer,</w:t>
      </w:r>
      <w:r w:rsidR="00086637" w:rsidRPr="00951D01">
        <w:rPr>
          <w:sz w:val="24"/>
          <w:szCs w:val="24"/>
        </w:rPr>
        <w:t xml:space="preserve"> continues to make and spend more money. </w:t>
      </w:r>
      <w:r w:rsidR="00C93B74" w:rsidRPr="00951D01">
        <w:rPr>
          <w:sz w:val="24"/>
          <w:szCs w:val="24"/>
        </w:rPr>
        <w:t>High levels of consumer confidence showed that shoppers were willing to spend</w:t>
      </w:r>
      <w:r w:rsidR="00E42EE6" w:rsidRPr="00951D01">
        <w:rPr>
          <w:sz w:val="24"/>
          <w:szCs w:val="24"/>
        </w:rPr>
        <w:t>.</w:t>
      </w:r>
      <w:r w:rsidR="00C93B74" w:rsidRPr="00951D01">
        <w:rPr>
          <w:sz w:val="24"/>
          <w:szCs w:val="24"/>
        </w:rPr>
        <w:t xml:space="preserve"> </w:t>
      </w:r>
      <w:r w:rsidR="00601A2F" w:rsidRPr="00951D01">
        <w:rPr>
          <w:sz w:val="24"/>
          <w:szCs w:val="24"/>
        </w:rPr>
        <w:t>Indeed, we have seen</w:t>
      </w:r>
      <w:r w:rsidR="00C93B74" w:rsidRPr="00951D01">
        <w:rPr>
          <w:sz w:val="24"/>
          <w:szCs w:val="24"/>
        </w:rPr>
        <w:t xml:space="preserve"> solid growth in </w:t>
      </w:r>
      <w:r w:rsidR="00086637" w:rsidRPr="00951D01">
        <w:rPr>
          <w:sz w:val="24"/>
          <w:szCs w:val="24"/>
        </w:rPr>
        <w:t xml:space="preserve">retail sales </w:t>
      </w:r>
      <w:r w:rsidR="00C93B74" w:rsidRPr="00951D01">
        <w:rPr>
          <w:sz w:val="24"/>
          <w:szCs w:val="24"/>
        </w:rPr>
        <w:t>for the past two months</w:t>
      </w:r>
      <w:r w:rsidR="00124B16" w:rsidRPr="00951D01">
        <w:rPr>
          <w:sz w:val="24"/>
          <w:szCs w:val="24"/>
        </w:rPr>
        <w:t>,</w:t>
      </w:r>
      <w:r w:rsidR="00C93B74" w:rsidRPr="00951D01">
        <w:rPr>
          <w:sz w:val="24"/>
          <w:szCs w:val="24"/>
        </w:rPr>
        <w:t xml:space="preserve"> </w:t>
      </w:r>
      <w:r w:rsidR="00124B16" w:rsidRPr="00951D01">
        <w:rPr>
          <w:sz w:val="24"/>
          <w:szCs w:val="24"/>
        </w:rPr>
        <w:t>including</w:t>
      </w:r>
      <w:r w:rsidR="00086637" w:rsidRPr="00951D01">
        <w:rPr>
          <w:sz w:val="24"/>
          <w:szCs w:val="24"/>
        </w:rPr>
        <w:t xml:space="preserve"> the</w:t>
      </w:r>
      <w:r w:rsidRPr="00951D01">
        <w:rPr>
          <w:sz w:val="24"/>
          <w:szCs w:val="24"/>
        </w:rPr>
        <w:t xml:space="preserve"> important</w:t>
      </w:r>
      <w:r w:rsidR="00086637" w:rsidRPr="00951D01">
        <w:rPr>
          <w:sz w:val="24"/>
          <w:szCs w:val="24"/>
        </w:rPr>
        <w:t xml:space="preserve"> holiday season. Personal income and wage growth in November w</w:t>
      </w:r>
      <w:r w:rsidR="00E42EE6" w:rsidRPr="00951D01">
        <w:rPr>
          <w:sz w:val="24"/>
          <w:szCs w:val="24"/>
        </w:rPr>
        <w:t>ere</w:t>
      </w:r>
      <w:r w:rsidR="00086637" w:rsidRPr="00951D01">
        <w:rPr>
          <w:sz w:val="24"/>
          <w:szCs w:val="24"/>
        </w:rPr>
        <w:t xml:space="preserve"> also </w:t>
      </w:r>
      <w:r w:rsidR="00C93B74" w:rsidRPr="00951D01">
        <w:rPr>
          <w:sz w:val="24"/>
          <w:szCs w:val="24"/>
        </w:rPr>
        <w:t>healthy</w:t>
      </w:r>
      <w:r w:rsidR="009F4578" w:rsidRPr="00951D01">
        <w:rPr>
          <w:sz w:val="24"/>
          <w:szCs w:val="24"/>
        </w:rPr>
        <w:t>. These s</w:t>
      </w:r>
      <w:r w:rsidR="0029003E" w:rsidRPr="00951D01">
        <w:rPr>
          <w:sz w:val="24"/>
          <w:szCs w:val="24"/>
        </w:rPr>
        <w:t>olid</w:t>
      </w:r>
      <w:r w:rsidR="009F4578" w:rsidRPr="00951D01">
        <w:rPr>
          <w:sz w:val="24"/>
          <w:szCs w:val="24"/>
        </w:rPr>
        <w:t xml:space="preserve"> results</w:t>
      </w:r>
      <w:r w:rsidR="00C93B74" w:rsidRPr="00951D01">
        <w:rPr>
          <w:sz w:val="24"/>
          <w:szCs w:val="24"/>
        </w:rPr>
        <w:t xml:space="preserve"> suggest that spending growth is sustainable</w:t>
      </w:r>
      <w:r w:rsidR="00086637" w:rsidRPr="00951D01">
        <w:rPr>
          <w:sz w:val="24"/>
          <w:szCs w:val="24"/>
        </w:rPr>
        <w:t>.</w:t>
      </w:r>
    </w:p>
    <w:p w14:paraId="4D060B76" w14:textId="77777777" w:rsidR="00086637" w:rsidRPr="00951D01" w:rsidRDefault="00086637" w:rsidP="00226935">
      <w:pPr>
        <w:spacing w:after="0" w:line="240" w:lineRule="auto"/>
        <w:rPr>
          <w:sz w:val="24"/>
          <w:szCs w:val="24"/>
        </w:rPr>
      </w:pPr>
    </w:p>
    <w:p w14:paraId="7BF27AE4" w14:textId="3B92FF52" w:rsidR="00254304" w:rsidRPr="00951D01" w:rsidRDefault="00E80389" w:rsidP="00226935">
      <w:pPr>
        <w:spacing w:after="0" w:line="240" w:lineRule="auto"/>
        <w:rPr>
          <w:sz w:val="24"/>
          <w:szCs w:val="24"/>
        </w:rPr>
      </w:pPr>
      <w:r w:rsidRPr="00951D01">
        <w:rPr>
          <w:sz w:val="24"/>
          <w:szCs w:val="24"/>
        </w:rPr>
        <w:t xml:space="preserve">Business owners </w:t>
      </w:r>
      <w:r w:rsidR="00391841" w:rsidRPr="00951D01">
        <w:rPr>
          <w:sz w:val="24"/>
          <w:szCs w:val="24"/>
        </w:rPr>
        <w:t xml:space="preserve">also </w:t>
      </w:r>
      <w:r w:rsidRPr="00951D01">
        <w:rPr>
          <w:sz w:val="24"/>
          <w:szCs w:val="24"/>
        </w:rPr>
        <w:t>remain confident in the economy</w:t>
      </w:r>
      <w:r w:rsidR="00391841" w:rsidRPr="00951D01">
        <w:rPr>
          <w:sz w:val="24"/>
          <w:szCs w:val="24"/>
        </w:rPr>
        <w:t>.</w:t>
      </w:r>
      <w:r w:rsidRPr="00951D01">
        <w:rPr>
          <w:sz w:val="24"/>
          <w:szCs w:val="24"/>
        </w:rPr>
        <w:t xml:space="preserve"> </w:t>
      </w:r>
      <w:r w:rsidR="00391841" w:rsidRPr="00951D01">
        <w:rPr>
          <w:sz w:val="24"/>
          <w:szCs w:val="24"/>
        </w:rPr>
        <w:t>B</w:t>
      </w:r>
      <w:r w:rsidRPr="00951D01">
        <w:rPr>
          <w:sz w:val="24"/>
          <w:szCs w:val="24"/>
        </w:rPr>
        <w:t>oth the manufacturing and nonmanufacturing sentiment surveys increas</w:t>
      </w:r>
      <w:r w:rsidR="00391841" w:rsidRPr="00951D01">
        <w:rPr>
          <w:sz w:val="24"/>
          <w:szCs w:val="24"/>
        </w:rPr>
        <w:t>ed</w:t>
      </w:r>
      <w:r w:rsidRPr="00951D01">
        <w:rPr>
          <w:sz w:val="24"/>
          <w:szCs w:val="24"/>
        </w:rPr>
        <w:t xml:space="preserve"> in November</w:t>
      </w:r>
      <w:r w:rsidR="003F3B47" w:rsidRPr="00951D01">
        <w:rPr>
          <w:sz w:val="24"/>
          <w:szCs w:val="24"/>
        </w:rPr>
        <w:t>. These increases came</w:t>
      </w:r>
      <w:r w:rsidRPr="00951D01">
        <w:rPr>
          <w:sz w:val="24"/>
          <w:szCs w:val="24"/>
        </w:rPr>
        <w:t xml:space="preserve"> against expectations for modest declines.</w:t>
      </w:r>
      <w:r w:rsidR="00254304" w:rsidRPr="00951D01">
        <w:rPr>
          <w:sz w:val="24"/>
          <w:szCs w:val="24"/>
        </w:rPr>
        <w:t xml:space="preserve"> As you can see in </w:t>
      </w:r>
      <w:r w:rsidR="00AB796D" w:rsidRPr="00951D01">
        <w:rPr>
          <w:sz w:val="24"/>
          <w:szCs w:val="24"/>
        </w:rPr>
        <w:t>F</w:t>
      </w:r>
      <w:r w:rsidR="00254304" w:rsidRPr="00951D01">
        <w:rPr>
          <w:sz w:val="24"/>
          <w:szCs w:val="24"/>
        </w:rPr>
        <w:t>igure 1, the I</w:t>
      </w:r>
      <w:r w:rsidR="00AB796D" w:rsidRPr="00951D01">
        <w:rPr>
          <w:sz w:val="24"/>
          <w:szCs w:val="24"/>
        </w:rPr>
        <w:t xml:space="preserve">nstitute for </w:t>
      </w:r>
      <w:r w:rsidR="00254304" w:rsidRPr="00951D01">
        <w:rPr>
          <w:sz w:val="24"/>
          <w:szCs w:val="24"/>
        </w:rPr>
        <w:t>S</w:t>
      </w:r>
      <w:r w:rsidR="00AB796D" w:rsidRPr="00951D01">
        <w:rPr>
          <w:sz w:val="24"/>
          <w:szCs w:val="24"/>
        </w:rPr>
        <w:t xml:space="preserve">upply </w:t>
      </w:r>
      <w:r w:rsidR="00254304" w:rsidRPr="00951D01">
        <w:rPr>
          <w:sz w:val="24"/>
          <w:szCs w:val="24"/>
        </w:rPr>
        <w:t>M</w:t>
      </w:r>
      <w:r w:rsidR="00AB796D" w:rsidRPr="00951D01">
        <w:rPr>
          <w:sz w:val="24"/>
          <w:szCs w:val="24"/>
        </w:rPr>
        <w:t>anagement</w:t>
      </w:r>
      <w:r w:rsidR="00254304" w:rsidRPr="00951D01">
        <w:rPr>
          <w:sz w:val="24"/>
          <w:szCs w:val="24"/>
        </w:rPr>
        <w:t xml:space="preserve"> </w:t>
      </w:r>
      <w:r w:rsidR="00AB796D" w:rsidRPr="00951D01">
        <w:rPr>
          <w:sz w:val="24"/>
          <w:szCs w:val="24"/>
        </w:rPr>
        <w:t>C</w:t>
      </w:r>
      <w:r w:rsidR="00254304" w:rsidRPr="00951D01">
        <w:rPr>
          <w:sz w:val="24"/>
          <w:szCs w:val="24"/>
        </w:rPr>
        <w:t xml:space="preserve">omposite </w:t>
      </w:r>
      <w:r w:rsidR="00AB796D" w:rsidRPr="00951D01">
        <w:rPr>
          <w:sz w:val="24"/>
          <w:szCs w:val="24"/>
        </w:rPr>
        <w:t>I</w:t>
      </w:r>
      <w:r w:rsidR="00254304" w:rsidRPr="00951D01">
        <w:rPr>
          <w:sz w:val="24"/>
          <w:szCs w:val="24"/>
        </w:rPr>
        <w:t xml:space="preserve">ndex shows confidence near </w:t>
      </w:r>
      <w:proofErr w:type="spellStart"/>
      <w:r w:rsidR="00951D01" w:rsidRPr="00951D01">
        <w:rPr>
          <w:sz w:val="24"/>
          <w:szCs w:val="24"/>
        </w:rPr>
        <w:t>post recession</w:t>
      </w:r>
      <w:proofErr w:type="spellEnd"/>
      <w:r w:rsidR="00254304" w:rsidRPr="00951D01">
        <w:rPr>
          <w:sz w:val="24"/>
          <w:szCs w:val="24"/>
        </w:rPr>
        <w:t xml:space="preserve"> highs.</w:t>
      </w:r>
    </w:p>
    <w:p w14:paraId="2061728B" w14:textId="77777777" w:rsidR="00254304" w:rsidRPr="00951D01" w:rsidRDefault="00254304" w:rsidP="00226935">
      <w:pPr>
        <w:spacing w:after="0" w:line="240" w:lineRule="auto"/>
        <w:rPr>
          <w:sz w:val="24"/>
          <w:szCs w:val="24"/>
        </w:rPr>
      </w:pPr>
    </w:p>
    <w:p w14:paraId="5573FFC2" w14:textId="77777777" w:rsidR="00254304" w:rsidRPr="00951D01" w:rsidRDefault="00254304" w:rsidP="00AB796D">
      <w:pPr>
        <w:keepNext/>
        <w:spacing w:after="0" w:line="240" w:lineRule="auto"/>
        <w:rPr>
          <w:b/>
          <w:color w:val="333399"/>
          <w:sz w:val="24"/>
          <w:szCs w:val="24"/>
        </w:rPr>
      </w:pPr>
      <w:r w:rsidRPr="00951D01">
        <w:rPr>
          <w:b/>
          <w:color w:val="333399"/>
          <w:sz w:val="24"/>
          <w:szCs w:val="24"/>
        </w:rPr>
        <w:t>Figure 1</w:t>
      </w:r>
      <w:r w:rsidR="00AB796D" w:rsidRPr="00951D01">
        <w:rPr>
          <w:b/>
          <w:color w:val="333399"/>
          <w:sz w:val="24"/>
          <w:szCs w:val="24"/>
        </w:rPr>
        <w:t>.</w:t>
      </w:r>
      <w:r w:rsidRPr="00951D01">
        <w:rPr>
          <w:b/>
          <w:color w:val="333399"/>
          <w:sz w:val="24"/>
          <w:szCs w:val="24"/>
        </w:rPr>
        <w:t xml:space="preserve"> I</w:t>
      </w:r>
      <w:r w:rsidR="00AB796D" w:rsidRPr="00951D01">
        <w:rPr>
          <w:b/>
          <w:color w:val="333399"/>
          <w:sz w:val="24"/>
          <w:szCs w:val="24"/>
        </w:rPr>
        <w:t xml:space="preserve">nstitute for </w:t>
      </w:r>
      <w:r w:rsidRPr="00951D01">
        <w:rPr>
          <w:b/>
          <w:color w:val="333399"/>
          <w:sz w:val="24"/>
          <w:szCs w:val="24"/>
        </w:rPr>
        <w:t>S</w:t>
      </w:r>
      <w:r w:rsidR="00AB796D" w:rsidRPr="00951D01">
        <w:rPr>
          <w:b/>
          <w:color w:val="333399"/>
          <w:sz w:val="24"/>
          <w:szCs w:val="24"/>
        </w:rPr>
        <w:t xml:space="preserve">upply </w:t>
      </w:r>
      <w:r w:rsidRPr="00951D01">
        <w:rPr>
          <w:b/>
          <w:color w:val="333399"/>
          <w:sz w:val="24"/>
          <w:szCs w:val="24"/>
        </w:rPr>
        <w:t>M</w:t>
      </w:r>
      <w:r w:rsidR="00AB796D" w:rsidRPr="00951D01">
        <w:rPr>
          <w:b/>
          <w:color w:val="333399"/>
          <w:sz w:val="24"/>
          <w:szCs w:val="24"/>
        </w:rPr>
        <w:t>anagement</w:t>
      </w:r>
      <w:r w:rsidRPr="00951D01">
        <w:rPr>
          <w:b/>
          <w:color w:val="333399"/>
          <w:sz w:val="24"/>
          <w:szCs w:val="24"/>
        </w:rPr>
        <w:t xml:space="preserve"> Composite Index</w:t>
      </w:r>
      <w:r w:rsidR="00AB796D" w:rsidRPr="00951D01">
        <w:rPr>
          <w:b/>
          <w:color w:val="333399"/>
          <w:sz w:val="24"/>
          <w:szCs w:val="24"/>
        </w:rPr>
        <w:t>,</w:t>
      </w:r>
      <w:r w:rsidRPr="00951D01">
        <w:rPr>
          <w:b/>
          <w:color w:val="333399"/>
          <w:sz w:val="24"/>
          <w:szCs w:val="24"/>
        </w:rPr>
        <w:t xml:space="preserve"> 2007</w:t>
      </w:r>
      <w:r w:rsidR="00AB796D" w:rsidRPr="00951D01">
        <w:rPr>
          <w:b/>
          <w:color w:val="333399"/>
          <w:sz w:val="24"/>
          <w:szCs w:val="24"/>
        </w:rPr>
        <w:t>–</w:t>
      </w:r>
      <w:r w:rsidRPr="00951D01">
        <w:rPr>
          <w:b/>
          <w:color w:val="333399"/>
          <w:sz w:val="24"/>
          <w:szCs w:val="24"/>
        </w:rPr>
        <w:t>2018</w:t>
      </w:r>
    </w:p>
    <w:p w14:paraId="5E279755" w14:textId="77777777" w:rsidR="00254304" w:rsidRPr="00951D01" w:rsidRDefault="00254304" w:rsidP="00226935">
      <w:pPr>
        <w:spacing w:after="0" w:line="240" w:lineRule="auto"/>
        <w:rPr>
          <w:sz w:val="24"/>
          <w:szCs w:val="24"/>
        </w:rPr>
      </w:pPr>
      <w:r w:rsidRPr="00951D01">
        <w:rPr>
          <w:noProof/>
          <w:sz w:val="24"/>
          <w:szCs w:val="24"/>
        </w:rPr>
        <w:drawing>
          <wp:inline distT="0" distB="0" distL="0" distR="0" wp14:anchorId="5F1F078B" wp14:editId="650DE92B">
            <wp:extent cx="4059936" cy="3044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936" cy="3044952"/>
                    </a:xfrm>
                    <a:prstGeom prst="rect">
                      <a:avLst/>
                    </a:prstGeom>
                    <a:noFill/>
                    <a:ln>
                      <a:noFill/>
                    </a:ln>
                  </pic:spPr>
                </pic:pic>
              </a:graphicData>
            </a:graphic>
          </wp:inline>
        </w:drawing>
      </w:r>
    </w:p>
    <w:p w14:paraId="2FE57A43" w14:textId="77777777" w:rsidR="00254304" w:rsidRPr="00951D01" w:rsidRDefault="00254304" w:rsidP="00226935">
      <w:pPr>
        <w:spacing w:after="0" w:line="240" w:lineRule="auto"/>
        <w:rPr>
          <w:sz w:val="24"/>
          <w:szCs w:val="24"/>
        </w:rPr>
      </w:pPr>
    </w:p>
    <w:p w14:paraId="119022C7" w14:textId="08D98610" w:rsidR="00C93B74" w:rsidRPr="00951D01" w:rsidRDefault="00E80389" w:rsidP="00226935">
      <w:pPr>
        <w:spacing w:after="0" w:line="240" w:lineRule="auto"/>
        <w:rPr>
          <w:sz w:val="24"/>
          <w:szCs w:val="24"/>
        </w:rPr>
      </w:pPr>
      <w:r w:rsidRPr="00951D01">
        <w:rPr>
          <w:sz w:val="24"/>
          <w:szCs w:val="24"/>
        </w:rPr>
        <w:t xml:space="preserve">This </w:t>
      </w:r>
      <w:r w:rsidR="00AD1643" w:rsidRPr="00951D01">
        <w:rPr>
          <w:sz w:val="24"/>
          <w:szCs w:val="24"/>
        </w:rPr>
        <w:t>strong sentiment</w:t>
      </w:r>
      <w:r w:rsidRPr="00951D01">
        <w:rPr>
          <w:sz w:val="24"/>
          <w:szCs w:val="24"/>
        </w:rPr>
        <w:t xml:space="preserve"> i</w:t>
      </w:r>
      <w:r w:rsidR="000E2ACC" w:rsidRPr="00951D01">
        <w:rPr>
          <w:sz w:val="24"/>
          <w:szCs w:val="24"/>
        </w:rPr>
        <w:t>s</w:t>
      </w:r>
      <w:r w:rsidRPr="00951D01">
        <w:rPr>
          <w:sz w:val="24"/>
          <w:szCs w:val="24"/>
        </w:rPr>
        <w:t xml:space="preserve"> encouraging</w:t>
      </w:r>
      <w:r w:rsidR="0006333F" w:rsidRPr="00951D01">
        <w:rPr>
          <w:sz w:val="24"/>
          <w:szCs w:val="24"/>
        </w:rPr>
        <w:t>.</w:t>
      </w:r>
      <w:r w:rsidRPr="00951D01">
        <w:rPr>
          <w:sz w:val="24"/>
          <w:szCs w:val="24"/>
        </w:rPr>
        <w:t xml:space="preserve"> </w:t>
      </w:r>
      <w:r w:rsidR="0006333F" w:rsidRPr="00951D01">
        <w:rPr>
          <w:sz w:val="24"/>
          <w:szCs w:val="24"/>
        </w:rPr>
        <w:t>H</w:t>
      </w:r>
      <w:r w:rsidRPr="00951D01">
        <w:rPr>
          <w:sz w:val="24"/>
          <w:szCs w:val="24"/>
        </w:rPr>
        <w:t xml:space="preserve">igh confidence levels have historically led to higher spending, which helps grow the economy. </w:t>
      </w:r>
      <w:r w:rsidR="000F65FE" w:rsidRPr="00951D01">
        <w:rPr>
          <w:sz w:val="24"/>
          <w:szCs w:val="24"/>
        </w:rPr>
        <w:t xml:space="preserve">Real data supported these </w:t>
      </w:r>
      <w:r w:rsidR="00C93B74" w:rsidRPr="00951D01">
        <w:rPr>
          <w:sz w:val="24"/>
          <w:szCs w:val="24"/>
        </w:rPr>
        <w:t>high confidence level</w:t>
      </w:r>
      <w:r w:rsidR="000F65FE" w:rsidRPr="00951D01">
        <w:rPr>
          <w:sz w:val="24"/>
          <w:szCs w:val="24"/>
        </w:rPr>
        <w:t>s</w:t>
      </w:r>
      <w:r w:rsidR="00C93B74" w:rsidRPr="00951D01">
        <w:rPr>
          <w:sz w:val="24"/>
          <w:szCs w:val="24"/>
        </w:rPr>
        <w:t xml:space="preserve">, as </w:t>
      </w:r>
      <w:r w:rsidR="00C93B74" w:rsidRPr="00951D01">
        <w:rPr>
          <w:sz w:val="24"/>
          <w:szCs w:val="24"/>
        </w:rPr>
        <w:lastRenderedPageBreak/>
        <w:t>businesses also continued to spend to end the year. November’s durable goods orders, often used as a proxy for business investment, rose by a solid 0.8 percent on increased aircraft orders. Industrial production also increased in November</w:t>
      </w:r>
      <w:r w:rsidR="004E7A02" w:rsidRPr="00951D01">
        <w:rPr>
          <w:sz w:val="24"/>
          <w:szCs w:val="24"/>
        </w:rPr>
        <w:t>.</w:t>
      </w:r>
      <w:r w:rsidR="00C93B74" w:rsidRPr="00951D01">
        <w:rPr>
          <w:sz w:val="24"/>
          <w:szCs w:val="24"/>
        </w:rPr>
        <w:t xml:space="preserve"> </w:t>
      </w:r>
      <w:r w:rsidR="004E7A02" w:rsidRPr="00951D01">
        <w:rPr>
          <w:sz w:val="24"/>
          <w:szCs w:val="24"/>
        </w:rPr>
        <w:t>Here</w:t>
      </w:r>
      <w:r w:rsidR="00F2431A" w:rsidRPr="00951D01">
        <w:rPr>
          <w:sz w:val="24"/>
          <w:szCs w:val="24"/>
        </w:rPr>
        <w:t>,</w:t>
      </w:r>
      <w:r w:rsidR="00C93B74" w:rsidRPr="00951D01">
        <w:rPr>
          <w:sz w:val="24"/>
          <w:szCs w:val="24"/>
        </w:rPr>
        <w:t xml:space="preserve"> </w:t>
      </w:r>
      <w:r w:rsidR="009E3296" w:rsidRPr="00951D01">
        <w:rPr>
          <w:sz w:val="24"/>
          <w:szCs w:val="24"/>
        </w:rPr>
        <w:t xml:space="preserve">though, </w:t>
      </w:r>
      <w:r w:rsidR="00C93B74" w:rsidRPr="00951D01">
        <w:rPr>
          <w:sz w:val="24"/>
          <w:szCs w:val="24"/>
        </w:rPr>
        <w:t>some cold weather effects likely made this growth figure look better than it actually was.</w:t>
      </w:r>
    </w:p>
    <w:p w14:paraId="6192D5E0" w14:textId="77777777" w:rsidR="00C93B74" w:rsidRPr="00951D01" w:rsidRDefault="00C93B74" w:rsidP="00226935">
      <w:pPr>
        <w:spacing w:after="0" w:line="240" w:lineRule="auto"/>
        <w:rPr>
          <w:sz w:val="24"/>
          <w:szCs w:val="24"/>
        </w:rPr>
      </w:pPr>
    </w:p>
    <w:p w14:paraId="5923EB4F" w14:textId="512B50CF" w:rsidR="00E80389" w:rsidRPr="00951D01" w:rsidRDefault="00AF44EF" w:rsidP="00226935">
      <w:pPr>
        <w:spacing w:after="0" w:line="240" w:lineRule="auto"/>
        <w:rPr>
          <w:sz w:val="24"/>
          <w:szCs w:val="24"/>
        </w:rPr>
      </w:pPr>
      <w:r w:rsidRPr="00951D01">
        <w:rPr>
          <w:sz w:val="24"/>
          <w:szCs w:val="24"/>
        </w:rPr>
        <w:t xml:space="preserve">The good news is that </w:t>
      </w:r>
      <w:r w:rsidR="00E80389" w:rsidRPr="00951D01">
        <w:rPr>
          <w:sz w:val="24"/>
          <w:szCs w:val="24"/>
        </w:rPr>
        <w:t xml:space="preserve">business sentiment and investment </w:t>
      </w:r>
      <w:r w:rsidR="00F3516F" w:rsidRPr="00951D01">
        <w:rPr>
          <w:sz w:val="24"/>
          <w:szCs w:val="24"/>
        </w:rPr>
        <w:t>are</w:t>
      </w:r>
      <w:r w:rsidR="00E80389" w:rsidRPr="00951D01">
        <w:rPr>
          <w:sz w:val="24"/>
          <w:szCs w:val="24"/>
        </w:rPr>
        <w:t xml:space="preserve"> positive</w:t>
      </w:r>
      <w:r w:rsidRPr="00951D01">
        <w:rPr>
          <w:sz w:val="24"/>
          <w:szCs w:val="24"/>
        </w:rPr>
        <w:t>.</w:t>
      </w:r>
      <w:r w:rsidR="00E80389" w:rsidRPr="00951D01">
        <w:rPr>
          <w:sz w:val="24"/>
          <w:szCs w:val="24"/>
        </w:rPr>
        <w:t xml:space="preserve"> </w:t>
      </w:r>
      <w:r w:rsidRPr="00951D01">
        <w:rPr>
          <w:sz w:val="24"/>
          <w:szCs w:val="24"/>
        </w:rPr>
        <w:t>U</w:t>
      </w:r>
      <w:r w:rsidR="00E80389" w:rsidRPr="00951D01">
        <w:rPr>
          <w:sz w:val="24"/>
          <w:szCs w:val="24"/>
        </w:rPr>
        <w:t>nfortunately</w:t>
      </w:r>
      <w:r w:rsidRPr="00951D01">
        <w:rPr>
          <w:sz w:val="24"/>
          <w:szCs w:val="24"/>
        </w:rPr>
        <w:t>, this is</w:t>
      </w:r>
      <w:r w:rsidR="00E80389" w:rsidRPr="00951D01">
        <w:rPr>
          <w:sz w:val="24"/>
          <w:szCs w:val="24"/>
        </w:rPr>
        <w:t xml:space="preserve"> not true for one of the </w:t>
      </w:r>
      <w:r w:rsidR="00535F54" w:rsidRPr="00951D01">
        <w:rPr>
          <w:sz w:val="24"/>
          <w:szCs w:val="24"/>
        </w:rPr>
        <w:t xml:space="preserve">other </w:t>
      </w:r>
      <w:r w:rsidR="00E80389" w:rsidRPr="00951D01">
        <w:rPr>
          <w:sz w:val="24"/>
          <w:szCs w:val="24"/>
        </w:rPr>
        <w:t>major sectors of the economy</w:t>
      </w:r>
      <w:r w:rsidR="004E7A02" w:rsidRPr="00951D01">
        <w:rPr>
          <w:sz w:val="24"/>
          <w:szCs w:val="24"/>
        </w:rPr>
        <w:t>: housing.</w:t>
      </w:r>
    </w:p>
    <w:p w14:paraId="520715FB" w14:textId="77777777" w:rsidR="00E80389" w:rsidRPr="00951D01" w:rsidRDefault="00E80389" w:rsidP="00226935">
      <w:pPr>
        <w:spacing w:after="0" w:line="240" w:lineRule="auto"/>
        <w:rPr>
          <w:sz w:val="24"/>
          <w:szCs w:val="24"/>
        </w:rPr>
      </w:pPr>
    </w:p>
    <w:p w14:paraId="74E327AE" w14:textId="77777777" w:rsidR="00E80389" w:rsidRPr="00951D01" w:rsidRDefault="00E80389" w:rsidP="00226935">
      <w:pPr>
        <w:spacing w:after="0" w:line="240" w:lineRule="auto"/>
        <w:rPr>
          <w:color w:val="333399"/>
          <w:sz w:val="24"/>
          <w:szCs w:val="24"/>
        </w:rPr>
      </w:pPr>
      <w:r w:rsidRPr="00951D01">
        <w:rPr>
          <w:b/>
          <w:color w:val="333399"/>
          <w:sz w:val="24"/>
          <w:szCs w:val="24"/>
        </w:rPr>
        <w:t xml:space="preserve">Housing </w:t>
      </w:r>
      <w:r w:rsidR="00C93B74" w:rsidRPr="00951D01">
        <w:rPr>
          <w:b/>
          <w:color w:val="333399"/>
          <w:sz w:val="24"/>
          <w:szCs w:val="24"/>
        </w:rPr>
        <w:t>slowdown continues</w:t>
      </w:r>
    </w:p>
    <w:p w14:paraId="497634D2" w14:textId="651D713A" w:rsidR="00E80389" w:rsidRPr="00951D01" w:rsidRDefault="00683F60" w:rsidP="00226935">
      <w:pPr>
        <w:spacing w:after="0" w:line="240" w:lineRule="auto"/>
        <w:rPr>
          <w:sz w:val="24"/>
          <w:szCs w:val="24"/>
        </w:rPr>
      </w:pPr>
      <w:r w:rsidRPr="00951D01">
        <w:rPr>
          <w:sz w:val="24"/>
          <w:szCs w:val="24"/>
        </w:rPr>
        <w:t>T</w:t>
      </w:r>
      <w:r w:rsidR="00E80389" w:rsidRPr="00951D01">
        <w:rPr>
          <w:sz w:val="24"/>
          <w:szCs w:val="24"/>
        </w:rPr>
        <w:t xml:space="preserve">he housing sector </w:t>
      </w:r>
      <w:r w:rsidRPr="00951D01">
        <w:rPr>
          <w:sz w:val="24"/>
          <w:szCs w:val="24"/>
        </w:rPr>
        <w:t xml:space="preserve">continued to </w:t>
      </w:r>
      <w:r w:rsidR="00E80389" w:rsidRPr="00951D01">
        <w:rPr>
          <w:sz w:val="24"/>
          <w:szCs w:val="24"/>
        </w:rPr>
        <w:t xml:space="preserve">disappoint </w:t>
      </w:r>
      <w:r w:rsidR="00495CDD" w:rsidRPr="00951D01">
        <w:rPr>
          <w:sz w:val="24"/>
          <w:szCs w:val="24"/>
        </w:rPr>
        <w:t>to end the year. Home</w:t>
      </w:r>
      <w:r w:rsidR="00233858" w:rsidRPr="00951D01">
        <w:rPr>
          <w:sz w:val="24"/>
          <w:szCs w:val="24"/>
        </w:rPr>
        <w:t xml:space="preserve"> </w:t>
      </w:r>
      <w:r w:rsidR="00495CDD" w:rsidRPr="00951D01">
        <w:rPr>
          <w:sz w:val="24"/>
          <w:szCs w:val="24"/>
        </w:rPr>
        <w:t xml:space="preserve">builder sentiment, which collapsed in November, continued to </w:t>
      </w:r>
      <w:r w:rsidRPr="00951D01">
        <w:rPr>
          <w:sz w:val="24"/>
          <w:szCs w:val="24"/>
        </w:rPr>
        <w:t>drop</w:t>
      </w:r>
      <w:r w:rsidR="00233858" w:rsidRPr="00951D01">
        <w:rPr>
          <w:sz w:val="24"/>
          <w:szCs w:val="24"/>
        </w:rPr>
        <w:t>.</w:t>
      </w:r>
      <w:r w:rsidRPr="00951D01">
        <w:rPr>
          <w:sz w:val="24"/>
          <w:szCs w:val="24"/>
        </w:rPr>
        <w:t xml:space="preserve"> </w:t>
      </w:r>
      <w:r w:rsidR="00233858" w:rsidRPr="00951D01">
        <w:rPr>
          <w:sz w:val="24"/>
          <w:szCs w:val="24"/>
        </w:rPr>
        <w:t>P</w:t>
      </w:r>
      <w:r w:rsidR="00F3516F" w:rsidRPr="00951D01">
        <w:rPr>
          <w:sz w:val="24"/>
          <w:szCs w:val="24"/>
        </w:rPr>
        <w:t>ending home sales, which were expected to increase modestly in November, fell by 0.7 percent instead.</w:t>
      </w:r>
      <w:r w:rsidR="007777FB" w:rsidRPr="00951D01">
        <w:rPr>
          <w:sz w:val="24"/>
          <w:szCs w:val="24"/>
        </w:rPr>
        <w:t xml:space="preserve"> </w:t>
      </w:r>
      <w:r w:rsidRPr="00951D01">
        <w:rPr>
          <w:sz w:val="24"/>
          <w:szCs w:val="24"/>
        </w:rPr>
        <w:t>That said, housing starts actually rose last month, against an expected decline</w:t>
      </w:r>
      <w:r w:rsidR="00233858" w:rsidRPr="00951D01">
        <w:rPr>
          <w:sz w:val="24"/>
          <w:szCs w:val="24"/>
        </w:rPr>
        <w:t>.</w:t>
      </w:r>
      <w:r w:rsidRPr="00951D01">
        <w:rPr>
          <w:sz w:val="24"/>
          <w:szCs w:val="24"/>
        </w:rPr>
        <w:t xml:space="preserve"> </w:t>
      </w:r>
      <w:r w:rsidR="00233858" w:rsidRPr="00951D01">
        <w:rPr>
          <w:sz w:val="24"/>
          <w:szCs w:val="24"/>
        </w:rPr>
        <w:t>S</w:t>
      </w:r>
      <w:r w:rsidRPr="00951D01">
        <w:rPr>
          <w:sz w:val="24"/>
          <w:szCs w:val="24"/>
        </w:rPr>
        <w:t>o</w:t>
      </w:r>
      <w:r w:rsidR="00233858" w:rsidRPr="00951D01">
        <w:rPr>
          <w:sz w:val="24"/>
          <w:szCs w:val="24"/>
        </w:rPr>
        <w:t>,</w:t>
      </w:r>
      <w:r w:rsidRPr="00951D01">
        <w:rPr>
          <w:sz w:val="24"/>
          <w:szCs w:val="24"/>
        </w:rPr>
        <w:t xml:space="preserve"> the slowdown may be moderating.</w:t>
      </w:r>
    </w:p>
    <w:p w14:paraId="56D54ACF" w14:textId="77777777" w:rsidR="00E80389" w:rsidRPr="00951D01" w:rsidRDefault="00E80389" w:rsidP="00226935">
      <w:pPr>
        <w:spacing w:after="0" w:line="240" w:lineRule="auto"/>
        <w:rPr>
          <w:sz w:val="24"/>
          <w:szCs w:val="24"/>
        </w:rPr>
      </w:pPr>
    </w:p>
    <w:p w14:paraId="4FA3BDF7" w14:textId="503EA817" w:rsidR="00E80389" w:rsidRPr="00951D01" w:rsidRDefault="00B011C8" w:rsidP="00226935">
      <w:pPr>
        <w:spacing w:after="0" w:line="240" w:lineRule="auto"/>
        <w:rPr>
          <w:sz w:val="24"/>
          <w:szCs w:val="24"/>
        </w:rPr>
      </w:pPr>
      <w:r w:rsidRPr="00951D01">
        <w:rPr>
          <w:sz w:val="24"/>
          <w:szCs w:val="24"/>
        </w:rPr>
        <w:t xml:space="preserve">Going forward, we do see signs </w:t>
      </w:r>
      <w:r w:rsidR="00226675" w:rsidRPr="00951D01">
        <w:rPr>
          <w:sz w:val="24"/>
          <w:szCs w:val="24"/>
        </w:rPr>
        <w:t>of</w:t>
      </w:r>
      <w:r w:rsidRPr="00951D01">
        <w:rPr>
          <w:sz w:val="24"/>
          <w:szCs w:val="24"/>
        </w:rPr>
        <w:t xml:space="preserve"> optimism for housing. </w:t>
      </w:r>
      <w:r w:rsidR="00126472" w:rsidRPr="00951D01">
        <w:rPr>
          <w:sz w:val="24"/>
          <w:szCs w:val="24"/>
        </w:rPr>
        <w:t>An unexpected increase in existing home sales may indicate</w:t>
      </w:r>
      <w:r w:rsidR="00683F60" w:rsidRPr="00951D01">
        <w:rPr>
          <w:sz w:val="24"/>
          <w:szCs w:val="24"/>
        </w:rPr>
        <w:t xml:space="preserve"> </w:t>
      </w:r>
      <w:r w:rsidR="00126472" w:rsidRPr="00951D01">
        <w:rPr>
          <w:sz w:val="24"/>
          <w:szCs w:val="24"/>
        </w:rPr>
        <w:t xml:space="preserve">a </w:t>
      </w:r>
      <w:r w:rsidR="00683F60" w:rsidRPr="00951D01">
        <w:rPr>
          <w:sz w:val="24"/>
          <w:szCs w:val="24"/>
        </w:rPr>
        <w:t xml:space="preserve">moderating slowdown. </w:t>
      </w:r>
      <w:r w:rsidR="00FE1D64" w:rsidRPr="00951D01">
        <w:rPr>
          <w:sz w:val="24"/>
          <w:szCs w:val="24"/>
        </w:rPr>
        <w:t>Further,</w:t>
      </w:r>
      <w:r w:rsidR="00683F60" w:rsidRPr="00951D01">
        <w:rPr>
          <w:sz w:val="24"/>
          <w:szCs w:val="24"/>
        </w:rPr>
        <w:t xml:space="preserve"> </w:t>
      </w:r>
      <w:r w:rsidR="00F3516F" w:rsidRPr="00951D01">
        <w:rPr>
          <w:sz w:val="24"/>
          <w:szCs w:val="24"/>
        </w:rPr>
        <w:t xml:space="preserve">slowing </w:t>
      </w:r>
      <w:r w:rsidR="00AD1643" w:rsidRPr="00951D01">
        <w:rPr>
          <w:sz w:val="24"/>
          <w:szCs w:val="24"/>
        </w:rPr>
        <w:t>sales</w:t>
      </w:r>
      <w:r w:rsidR="00F3516F" w:rsidRPr="00951D01">
        <w:rPr>
          <w:sz w:val="24"/>
          <w:szCs w:val="24"/>
        </w:rPr>
        <w:t xml:space="preserve"> </w:t>
      </w:r>
      <w:r w:rsidR="00415191" w:rsidRPr="00951D01">
        <w:rPr>
          <w:sz w:val="24"/>
          <w:szCs w:val="24"/>
        </w:rPr>
        <w:t xml:space="preserve">have </w:t>
      </w:r>
      <w:r w:rsidR="00F3516F" w:rsidRPr="00951D01">
        <w:rPr>
          <w:sz w:val="24"/>
          <w:szCs w:val="24"/>
        </w:rPr>
        <w:t xml:space="preserve">led to </w:t>
      </w:r>
      <w:r w:rsidR="00FE1D64" w:rsidRPr="00951D01">
        <w:rPr>
          <w:sz w:val="24"/>
          <w:szCs w:val="24"/>
        </w:rPr>
        <w:t>more</w:t>
      </w:r>
      <w:r w:rsidR="00F3516F" w:rsidRPr="00951D01">
        <w:rPr>
          <w:sz w:val="24"/>
          <w:szCs w:val="24"/>
        </w:rPr>
        <w:t xml:space="preserve"> inventory</w:t>
      </w:r>
      <w:r w:rsidR="00415191" w:rsidRPr="00951D01">
        <w:rPr>
          <w:sz w:val="24"/>
          <w:szCs w:val="24"/>
        </w:rPr>
        <w:t xml:space="preserve">, which could </w:t>
      </w:r>
      <w:r w:rsidR="00F3516F" w:rsidRPr="00951D01">
        <w:rPr>
          <w:sz w:val="24"/>
          <w:szCs w:val="24"/>
        </w:rPr>
        <w:t xml:space="preserve">lead to lower prices and increased </w:t>
      </w:r>
      <w:r w:rsidR="00415191" w:rsidRPr="00951D01">
        <w:rPr>
          <w:sz w:val="24"/>
          <w:szCs w:val="24"/>
        </w:rPr>
        <w:t xml:space="preserve">activity. Lower mortgage rates will also help. </w:t>
      </w:r>
      <w:r w:rsidR="00FE1D64" w:rsidRPr="00951D01">
        <w:rPr>
          <w:sz w:val="24"/>
          <w:szCs w:val="24"/>
        </w:rPr>
        <w:t>G</w:t>
      </w:r>
      <w:r w:rsidR="00F3516F" w:rsidRPr="00951D01">
        <w:rPr>
          <w:sz w:val="24"/>
          <w:szCs w:val="24"/>
        </w:rPr>
        <w:t>iven the many knock</w:t>
      </w:r>
      <w:r w:rsidR="00F2431A" w:rsidRPr="00951D01">
        <w:rPr>
          <w:sz w:val="24"/>
          <w:szCs w:val="24"/>
        </w:rPr>
        <w:t>-</w:t>
      </w:r>
      <w:r w:rsidR="00F3516F" w:rsidRPr="00951D01">
        <w:rPr>
          <w:sz w:val="24"/>
          <w:szCs w:val="24"/>
        </w:rPr>
        <w:t xml:space="preserve">on effects that housing spending generates, this will be an important area of the economy to </w:t>
      </w:r>
      <w:r w:rsidR="00FE1D64" w:rsidRPr="00951D01">
        <w:rPr>
          <w:sz w:val="24"/>
          <w:szCs w:val="24"/>
        </w:rPr>
        <w:t>watch</w:t>
      </w:r>
      <w:r w:rsidR="00F3516F" w:rsidRPr="00951D01">
        <w:rPr>
          <w:sz w:val="24"/>
          <w:szCs w:val="24"/>
        </w:rPr>
        <w:t xml:space="preserve"> as we start </w:t>
      </w:r>
      <w:r w:rsidR="009E1427" w:rsidRPr="00951D01">
        <w:rPr>
          <w:sz w:val="24"/>
          <w:szCs w:val="24"/>
        </w:rPr>
        <w:t>2019</w:t>
      </w:r>
      <w:r w:rsidR="00F3516F" w:rsidRPr="00951D01">
        <w:rPr>
          <w:sz w:val="24"/>
          <w:szCs w:val="24"/>
        </w:rPr>
        <w:t xml:space="preserve">. </w:t>
      </w:r>
    </w:p>
    <w:p w14:paraId="57BB939B" w14:textId="77777777" w:rsidR="00F3516F" w:rsidRPr="00951D01" w:rsidRDefault="00F3516F" w:rsidP="00226935">
      <w:pPr>
        <w:spacing w:after="0" w:line="240" w:lineRule="auto"/>
        <w:rPr>
          <w:sz w:val="24"/>
          <w:szCs w:val="24"/>
        </w:rPr>
      </w:pPr>
    </w:p>
    <w:p w14:paraId="521A8A35" w14:textId="77777777" w:rsidR="00F3516F" w:rsidRPr="00951D01" w:rsidRDefault="005E7982" w:rsidP="00226935">
      <w:pPr>
        <w:spacing w:after="0" w:line="240" w:lineRule="auto"/>
        <w:rPr>
          <w:color w:val="333399"/>
          <w:sz w:val="24"/>
          <w:szCs w:val="24"/>
        </w:rPr>
      </w:pPr>
      <w:r w:rsidRPr="00951D01">
        <w:rPr>
          <w:b/>
          <w:color w:val="333399"/>
          <w:sz w:val="24"/>
          <w:szCs w:val="24"/>
        </w:rPr>
        <w:t>Government shutdown</w:t>
      </w:r>
      <w:r w:rsidR="00415191" w:rsidRPr="00951D01">
        <w:rPr>
          <w:b/>
          <w:color w:val="333399"/>
          <w:sz w:val="24"/>
          <w:szCs w:val="24"/>
        </w:rPr>
        <w:t xml:space="preserve"> highlights p</w:t>
      </w:r>
      <w:r w:rsidR="00F3516F" w:rsidRPr="00951D01">
        <w:rPr>
          <w:b/>
          <w:color w:val="333399"/>
          <w:sz w:val="24"/>
          <w:szCs w:val="24"/>
        </w:rPr>
        <w:t>olitical risks</w:t>
      </w:r>
    </w:p>
    <w:p w14:paraId="5F34F87B" w14:textId="1B2FFB2F" w:rsidR="00FB4051" w:rsidRPr="00951D01" w:rsidRDefault="00D15029" w:rsidP="00226935">
      <w:pPr>
        <w:spacing w:after="0" w:line="240" w:lineRule="auto"/>
        <w:rPr>
          <w:sz w:val="24"/>
          <w:szCs w:val="24"/>
        </w:rPr>
      </w:pPr>
      <w:r w:rsidRPr="00951D01">
        <w:rPr>
          <w:sz w:val="24"/>
          <w:szCs w:val="24"/>
        </w:rPr>
        <w:t>Of course,</w:t>
      </w:r>
      <w:r w:rsidR="00415191" w:rsidRPr="00951D01">
        <w:rPr>
          <w:sz w:val="24"/>
          <w:szCs w:val="24"/>
        </w:rPr>
        <w:t xml:space="preserve"> economic worries are real</w:t>
      </w:r>
      <w:r w:rsidRPr="00951D01">
        <w:rPr>
          <w:sz w:val="24"/>
          <w:szCs w:val="24"/>
        </w:rPr>
        <w:t>.</w:t>
      </w:r>
      <w:r w:rsidR="00415191" w:rsidRPr="00951D01">
        <w:rPr>
          <w:sz w:val="24"/>
          <w:szCs w:val="24"/>
        </w:rPr>
        <w:t xml:space="preserve"> </w:t>
      </w:r>
      <w:r w:rsidRPr="00951D01">
        <w:rPr>
          <w:sz w:val="24"/>
          <w:szCs w:val="24"/>
        </w:rPr>
        <w:t xml:space="preserve">But </w:t>
      </w:r>
      <w:r w:rsidR="00415191" w:rsidRPr="00951D01">
        <w:rPr>
          <w:sz w:val="24"/>
          <w:szCs w:val="24"/>
        </w:rPr>
        <w:t xml:space="preserve">what </w:t>
      </w:r>
      <w:r w:rsidR="007961AF" w:rsidRPr="00951D01">
        <w:rPr>
          <w:sz w:val="24"/>
          <w:szCs w:val="24"/>
        </w:rPr>
        <w:t>absolutely</w:t>
      </w:r>
      <w:r w:rsidR="00415191" w:rsidRPr="00951D01">
        <w:rPr>
          <w:sz w:val="24"/>
          <w:szCs w:val="24"/>
        </w:rPr>
        <w:t xml:space="preserve"> hit markets in December was </w:t>
      </w:r>
      <w:r w:rsidR="005E7982" w:rsidRPr="00951D01">
        <w:rPr>
          <w:sz w:val="24"/>
          <w:szCs w:val="24"/>
        </w:rPr>
        <w:t>politics. The month started with a spat between the Fed and the White House over rising interest rates</w:t>
      </w:r>
      <w:r w:rsidR="00F2431A" w:rsidRPr="00951D01">
        <w:rPr>
          <w:sz w:val="24"/>
          <w:szCs w:val="24"/>
        </w:rPr>
        <w:t>.</w:t>
      </w:r>
      <w:r w:rsidR="005E7982" w:rsidRPr="00951D01">
        <w:rPr>
          <w:sz w:val="24"/>
          <w:szCs w:val="24"/>
        </w:rPr>
        <w:t xml:space="preserve"> </w:t>
      </w:r>
      <w:r w:rsidR="00F2431A" w:rsidRPr="00951D01">
        <w:rPr>
          <w:sz w:val="24"/>
          <w:szCs w:val="24"/>
        </w:rPr>
        <w:t>It</w:t>
      </w:r>
      <w:r w:rsidR="005E7982" w:rsidRPr="00951D01">
        <w:rPr>
          <w:sz w:val="24"/>
          <w:szCs w:val="24"/>
        </w:rPr>
        <w:t xml:space="preserve"> ended with a confrontation between Congress and the White House</w:t>
      </w:r>
      <w:r w:rsidR="00F2431A" w:rsidRPr="00951D01">
        <w:rPr>
          <w:sz w:val="24"/>
          <w:szCs w:val="24"/>
        </w:rPr>
        <w:t>,</w:t>
      </w:r>
      <w:r w:rsidR="005E7982" w:rsidRPr="00951D01">
        <w:rPr>
          <w:sz w:val="24"/>
          <w:szCs w:val="24"/>
        </w:rPr>
        <w:t xml:space="preserve"> result</w:t>
      </w:r>
      <w:r w:rsidR="00D506EE" w:rsidRPr="00951D01">
        <w:rPr>
          <w:sz w:val="24"/>
          <w:szCs w:val="24"/>
        </w:rPr>
        <w:t>ing</w:t>
      </w:r>
      <w:r w:rsidR="005E7982" w:rsidRPr="00951D01">
        <w:rPr>
          <w:sz w:val="24"/>
          <w:szCs w:val="24"/>
        </w:rPr>
        <w:t xml:space="preserve"> in the current</w:t>
      </w:r>
      <w:r w:rsidR="00FB4051" w:rsidRPr="00951D01">
        <w:rPr>
          <w:sz w:val="24"/>
          <w:szCs w:val="24"/>
        </w:rPr>
        <w:t xml:space="preserve"> </w:t>
      </w:r>
      <w:r w:rsidR="00961624" w:rsidRPr="00951D01">
        <w:rPr>
          <w:sz w:val="24"/>
          <w:szCs w:val="24"/>
        </w:rPr>
        <w:t>government shutdown.</w:t>
      </w:r>
    </w:p>
    <w:p w14:paraId="0E2D6FBD" w14:textId="77777777" w:rsidR="00961624" w:rsidRPr="00951D01" w:rsidRDefault="00961624" w:rsidP="00226935">
      <w:pPr>
        <w:spacing w:after="0" w:line="240" w:lineRule="auto"/>
        <w:rPr>
          <w:sz w:val="24"/>
          <w:szCs w:val="24"/>
        </w:rPr>
      </w:pPr>
    </w:p>
    <w:p w14:paraId="00244C1A" w14:textId="4761655B" w:rsidR="00F3516F" w:rsidRPr="00951D01" w:rsidRDefault="005E7982" w:rsidP="00226935">
      <w:pPr>
        <w:spacing w:after="0" w:line="240" w:lineRule="auto"/>
        <w:rPr>
          <w:sz w:val="24"/>
          <w:szCs w:val="24"/>
        </w:rPr>
      </w:pPr>
      <w:r w:rsidRPr="00951D01">
        <w:rPr>
          <w:sz w:val="24"/>
          <w:szCs w:val="24"/>
        </w:rPr>
        <w:t xml:space="preserve">Either </w:t>
      </w:r>
      <w:r w:rsidR="003605C4" w:rsidRPr="00951D01">
        <w:rPr>
          <w:sz w:val="24"/>
          <w:szCs w:val="24"/>
        </w:rPr>
        <w:t>o</w:t>
      </w:r>
      <w:r w:rsidRPr="00951D01">
        <w:rPr>
          <w:sz w:val="24"/>
          <w:szCs w:val="24"/>
        </w:rPr>
        <w:t xml:space="preserve">f these </w:t>
      </w:r>
      <w:r w:rsidR="003605C4" w:rsidRPr="00951D01">
        <w:rPr>
          <w:sz w:val="24"/>
          <w:szCs w:val="24"/>
        </w:rPr>
        <w:t xml:space="preserve">conflicts </w:t>
      </w:r>
      <w:r w:rsidRPr="00951D01">
        <w:rPr>
          <w:sz w:val="24"/>
          <w:szCs w:val="24"/>
        </w:rPr>
        <w:t>would have rattled markets</w:t>
      </w:r>
      <w:r w:rsidR="003605C4" w:rsidRPr="00951D01">
        <w:rPr>
          <w:sz w:val="24"/>
          <w:szCs w:val="24"/>
        </w:rPr>
        <w:t>.</w:t>
      </w:r>
      <w:r w:rsidRPr="00951D01">
        <w:rPr>
          <w:sz w:val="24"/>
          <w:szCs w:val="24"/>
        </w:rPr>
        <w:t xml:space="preserve"> </w:t>
      </w:r>
      <w:r w:rsidR="003605C4" w:rsidRPr="00951D01">
        <w:rPr>
          <w:sz w:val="24"/>
          <w:szCs w:val="24"/>
        </w:rPr>
        <w:t>B</w:t>
      </w:r>
      <w:r w:rsidRPr="00951D01">
        <w:rPr>
          <w:sz w:val="24"/>
          <w:szCs w:val="24"/>
        </w:rPr>
        <w:t xml:space="preserve">ut both in one month did </w:t>
      </w:r>
      <w:r w:rsidR="00254912" w:rsidRPr="00951D01">
        <w:rPr>
          <w:sz w:val="24"/>
          <w:szCs w:val="24"/>
        </w:rPr>
        <w:t>real</w:t>
      </w:r>
      <w:r w:rsidRPr="00951D01">
        <w:rPr>
          <w:sz w:val="24"/>
          <w:szCs w:val="24"/>
        </w:rPr>
        <w:t xml:space="preserve"> damage. Fortunately, there appears to </w:t>
      </w:r>
      <w:r w:rsidR="00FB4051" w:rsidRPr="00951D01">
        <w:rPr>
          <w:sz w:val="24"/>
          <w:szCs w:val="24"/>
        </w:rPr>
        <w:t>b</w:t>
      </w:r>
      <w:r w:rsidRPr="00951D01">
        <w:rPr>
          <w:sz w:val="24"/>
          <w:szCs w:val="24"/>
        </w:rPr>
        <w:t>e</w:t>
      </w:r>
      <w:r w:rsidR="00FB4051" w:rsidRPr="00951D01">
        <w:rPr>
          <w:sz w:val="24"/>
          <w:szCs w:val="24"/>
        </w:rPr>
        <w:t xml:space="preserve"> no</w:t>
      </w:r>
      <w:r w:rsidRPr="00951D01">
        <w:rPr>
          <w:sz w:val="24"/>
          <w:szCs w:val="24"/>
        </w:rPr>
        <w:t xml:space="preserve"> </w:t>
      </w:r>
      <w:r w:rsidR="008976C8" w:rsidRPr="00951D01">
        <w:rPr>
          <w:sz w:val="24"/>
          <w:szCs w:val="24"/>
        </w:rPr>
        <w:t>true</w:t>
      </w:r>
      <w:r w:rsidRPr="00951D01">
        <w:rPr>
          <w:sz w:val="24"/>
          <w:szCs w:val="24"/>
        </w:rPr>
        <w:t xml:space="preserve"> threat to Fed independence</w:t>
      </w:r>
      <w:r w:rsidR="00F2431A" w:rsidRPr="00951D01">
        <w:rPr>
          <w:sz w:val="24"/>
          <w:szCs w:val="24"/>
        </w:rPr>
        <w:t>.</w:t>
      </w:r>
      <w:r w:rsidRPr="00951D01">
        <w:rPr>
          <w:sz w:val="24"/>
          <w:szCs w:val="24"/>
        </w:rPr>
        <w:t xml:space="preserve"> </w:t>
      </w:r>
      <w:r w:rsidR="00F2431A" w:rsidRPr="00951D01">
        <w:rPr>
          <w:sz w:val="24"/>
          <w:szCs w:val="24"/>
        </w:rPr>
        <w:t>A</w:t>
      </w:r>
      <w:r w:rsidR="008513C3" w:rsidRPr="00951D01">
        <w:rPr>
          <w:sz w:val="24"/>
          <w:szCs w:val="24"/>
        </w:rPr>
        <w:t>nd while a</w:t>
      </w:r>
      <w:r w:rsidR="00961624" w:rsidRPr="00951D01">
        <w:rPr>
          <w:sz w:val="24"/>
          <w:szCs w:val="24"/>
        </w:rPr>
        <w:t xml:space="preserve"> government shutdown is certainly worth paying attention to</w:t>
      </w:r>
      <w:r w:rsidR="008513C3" w:rsidRPr="00951D01">
        <w:rPr>
          <w:sz w:val="24"/>
          <w:szCs w:val="24"/>
        </w:rPr>
        <w:t>, h</w:t>
      </w:r>
      <w:r w:rsidR="00961624" w:rsidRPr="00951D01">
        <w:rPr>
          <w:sz w:val="24"/>
          <w:szCs w:val="24"/>
        </w:rPr>
        <w:t>istorically</w:t>
      </w:r>
      <w:r w:rsidR="00F2431A" w:rsidRPr="00951D01">
        <w:rPr>
          <w:sz w:val="24"/>
          <w:szCs w:val="24"/>
        </w:rPr>
        <w:t>,</w:t>
      </w:r>
      <w:r w:rsidR="00961624" w:rsidRPr="00951D01">
        <w:rPr>
          <w:sz w:val="24"/>
          <w:szCs w:val="24"/>
        </w:rPr>
        <w:t xml:space="preserve"> the impact of a short</w:t>
      </w:r>
      <w:r w:rsidR="00F2431A" w:rsidRPr="00951D01">
        <w:rPr>
          <w:sz w:val="24"/>
          <w:szCs w:val="24"/>
        </w:rPr>
        <w:t>-</w:t>
      </w:r>
      <w:r w:rsidR="00961624" w:rsidRPr="00951D01">
        <w:rPr>
          <w:sz w:val="24"/>
          <w:szCs w:val="24"/>
        </w:rPr>
        <w:t xml:space="preserve">term shutdown on economic growth has been minimal. </w:t>
      </w:r>
      <w:r w:rsidRPr="00951D01">
        <w:rPr>
          <w:sz w:val="24"/>
          <w:szCs w:val="24"/>
        </w:rPr>
        <w:t>There is even some potential upside here</w:t>
      </w:r>
      <w:r w:rsidR="003605C4" w:rsidRPr="00951D01">
        <w:rPr>
          <w:sz w:val="24"/>
          <w:szCs w:val="24"/>
        </w:rPr>
        <w:t>.</w:t>
      </w:r>
      <w:r w:rsidRPr="00951D01">
        <w:rPr>
          <w:sz w:val="24"/>
          <w:szCs w:val="24"/>
        </w:rPr>
        <w:t xml:space="preserve"> </w:t>
      </w:r>
      <w:r w:rsidR="003605C4" w:rsidRPr="00951D01">
        <w:rPr>
          <w:sz w:val="24"/>
          <w:szCs w:val="24"/>
        </w:rPr>
        <w:t>I</w:t>
      </w:r>
      <w:r w:rsidRPr="00951D01">
        <w:rPr>
          <w:sz w:val="24"/>
          <w:szCs w:val="24"/>
        </w:rPr>
        <w:t xml:space="preserve">f </w:t>
      </w:r>
      <w:r w:rsidR="0043495E" w:rsidRPr="00951D01">
        <w:rPr>
          <w:sz w:val="24"/>
          <w:szCs w:val="24"/>
        </w:rPr>
        <w:t>c</w:t>
      </w:r>
      <w:r w:rsidR="00961624" w:rsidRPr="00951D01">
        <w:rPr>
          <w:sz w:val="24"/>
          <w:szCs w:val="24"/>
        </w:rPr>
        <w:t xml:space="preserve">ongressional leaders and the president can find </w:t>
      </w:r>
      <w:r w:rsidR="004C0D3C" w:rsidRPr="00951D01">
        <w:rPr>
          <w:sz w:val="24"/>
          <w:szCs w:val="24"/>
        </w:rPr>
        <w:t xml:space="preserve">a </w:t>
      </w:r>
      <w:r w:rsidRPr="00951D01">
        <w:rPr>
          <w:sz w:val="24"/>
          <w:szCs w:val="24"/>
        </w:rPr>
        <w:t>compromise</w:t>
      </w:r>
      <w:r w:rsidR="00961624" w:rsidRPr="00951D01">
        <w:rPr>
          <w:sz w:val="24"/>
          <w:szCs w:val="24"/>
        </w:rPr>
        <w:t xml:space="preserve">, it would likely </w:t>
      </w:r>
      <w:r w:rsidRPr="00951D01">
        <w:rPr>
          <w:sz w:val="24"/>
          <w:szCs w:val="24"/>
        </w:rPr>
        <w:t>help</w:t>
      </w:r>
      <w:r w:rsidR="00961624" w:rsidRPr="00951D01">
        <w:rPr>
          <w:sz w:val="24"/>
          <w:szCs w:val="24"/>
        </w:rPr>
        <w:t xml:space="preserve"> markets</w:t>
      </w:r>
      <w:r w:rsidRPr="00951D01">
        <w:rPr>
          <w:sz w:val="24"/>
          <w:szCs w:val="24"/>
        </w:rPr>
        <w:t xml:space="preserve"> recover</w:t>
      </w:r>
      <w:r w:rsidR="00961624" w:rsidRPr="00951D01">
        <w:rPr>
          <w:sz w:val="24"/>
          <w:szCs w:val="24"/>
        </w:rPr>
        <w:t xml:space="preserve">. </w:t>
      </w:r>
    </w:p>
    <w:p w14:paraId="0B883BE5" w14:textId="77777777" w:rsidR="00961624" w:rsidRPr="00951D01" w:rsidRDefault="00961624" w:rsidP="00226935">
      <w:pPr>
        <w:spacing w:after="0" w:line="240" w:lineRule="auto"/>
        <w:rPr>
          <w:sz w:val="24"/>
          <w:szCs w:val="24"/>
        </w:rPr>
      </w:pPr>
    </w:p>
    <w:p w14:paraId="046E6762" w14:textId="26546549" w:rsidR="005E7982" w:rsidRPr="00951D01" w:rsidRDefault="005E7982" w:rsidP="00226935">
      <w:pPr>
        <w:spacing w:after="0" w:line="240" w:lineRule="auto"/>
        <w:rPr>
          <w:sz w:val="24"/>
          <w:szCs w:val="24"/>
        </w:rPr>
      </w:pPr>
      <w:r w:rsidRPr="00951D01">
        <w:rPr>
          <w:sz w:val="24"/>
          <w:szCs w:val="24"/>
        </w:rPr>
        <w:t>There were political risks outside the U</w:t>
      </w:r>
      <w:r w:rsidR="00F2431A" w:rsidRPr="00951D01">
        <w:rPr>
          <w:sz w:val="24"/>
          <w:szCs w:val="24"/>
        </w:rPr>
        <w:t>.</w:t>
      </w:r>
      <w:r w:rsidRPr="00951D01">
        <w:rPr>
          <w:sz w:val="24"/>
          <w:szCs w:val="24"/>
        </w:rPr>
        <w:t>S</w:t>
      </w:r>
      <w:r w:rsidR="00F2431A" w:rsidRPr="00951D01">
        <w:rPr>
          <w:sz w:val="24"/>
          <w:szCs w:val="24"/>
        </w:rPr>
        <w:t>.</w:t>
      </w:r>
      <w:r w:rsidRPr="00951D01">
        <w:rPr>
          <w:sz w:val="24"/>
          <w:szCs w:val="24"/>
        </w:rPr>
        <w:t xml:space="preserve"> as well. The trade war with China rumbled on, raising fears of an</w:t>
      </w:r>
      <w:r w:rsidR="00961624" w:rsidRPr="00951D01">
        <w:rPr>
          <w:sz w:val="24"/>
          <w:szCs w:val="24"/>
        </w:rPr>
        <w:t xml:space="preserve"> economic slowdown </w:t>
      </w:r>
      <w:r w:rsidRPr="00951D01">
        <w:rPr>
          <w:sz w:val="24"/>
          <w:szCs w:val="24"/>
        </w:rPr>
        <w:t>there</w:t>
      </w:r>
      <w:r w:rsidR="006C2A48" w:rsidRPr="00951D01">
        <w:rPr>
          <w:sz w:val="24"/>
          <w:szCs w:val="24"/>
        </w:rPr>
        <w:t>.</w:t>
      </w:r>
      <w:r w:rsidRPr="00951D01">
        <w:rPr>
          <w:sz w:val="24"/>
          <w:szCs w:val="24"/>
        </w:rPr>
        <w:t xml:space="preserve"> </w:t>
      </w:r>
      <w:r w:rsidR="006C2A48" w:rsidRPr="00951D01">
        <w:rPr>
          <w:sz w:val="24"/>
          <w:szCs w:val="24"/>
        </w:rPr>
        <w:t>Plus,</w:t>
      </w:r>
      <w:r w:rsidRPr="00951D01">
        <w:rPr>
          <w:sz w:val="24"/>
          <w:szCs w:val="24"/>
        </w:rPr>
        <w:t xml:space="preserve"> the British political debacle around</w:t>
      </w:r>
      <w:r w:rsidR="00961624" w:rsidRPr="00951D01">
        <w:rPr>
          <w:sz w:val="24"/>
          <w:szCs w:val="24"/>
        </w:rPr>
        <w:t xml:space="preserve"> Brexit </w:t>
      </w:r>
      <w:r w:rsidRPr="00951D01">
        <w:rPr>
          <w:sz w:val="24"/>
          <w:szCs w:val="24"/>
        </w:rPr>
        <w:t>rattled European markets</w:t>
      </w:r>
      <w:r w:rsidR="00961624" w:rsidRPr="00951D01">
        <w:rPr>
          <w:sz w:val="24"/>
          <w:szCs w:val="24"/>
        </w:rPr>
        <w:t>.</w:t>
      </w:r>
    </w:p>
    <w:p w14:paraId="1A80DC62" w14:textId="77777777" w:rsidR="005E7982" w:rsidRPr="00951D01" w:rsidRDefault="005E7982" w:rsidP="00226935">
      <w:pPr>
        <w:spacing w:after="0" w:line="240" w:lineRule="auto"/>
        <w:rPr>
          <w:sz w:val="24"/>
          <w:szCs w:val="24"/>
        </w:rPr>
      </w:pPr>
    </w:p>
    <w:p w14:paraId="5C935240" w14:textId="7AACAE00" w:rsidR="00961624" w:rsidRPr="00951D01" w:rsidRDefault="008B1B2E" w:rsidP="00226935">
      <w:pPr>
        <w:spacing w:after="0" w:line="240" w:lineRule="auto"/>
        <w:rPr>
          <w:sz w:val="24"/>
          <w:szCs w:val="24"/>
        </w:rPr>
      </w:pPr>
      <w:r w:rsidRPr="00951D01">
        <w:rPr>
          <w:sz w:val="24"/>
          <w:szCs w:val="24"/>
        </w:rPr>
        <w:t>Once again</w:t>
      </w:r>
      <w:r w:rsidR="005E7982" w:rsidRPr="00951D01">
        <w:rPr>
          <w:sz w:val="24"/>
          <w:szCs w:val="24"/>
        </w:rPr>
        <w:t>, markets are now pricing in terrible outcomes</w:t>
      </w:r>
      <w:r w:rsidR="000569FE" w:rsidRPr="00951D01">
        <w:rPr>
          <w:sz w:val="24"/>
          <w:szCs w:val="24"/>
        </w:rPr>
        <w:t>.</w:t>
      </w:r>
      <w:r w:rsidR="005E7982" w:rsidRPr="00951D01">
        <w:rPr>
          <w:sz w:val="24"/>
          <w:szCs w:val="24"/>
        </w:rPr>
        <w:t xml:space="preserve"> </w:t>
      </w:r>
      <w:r w:rsidR="00485B4D" w:rsidRPr="00951D01">
        <w:rPr>
          <w:sz w:val="24"/>
          <w:szCs w:val="24"/>
        </w:rPr>
        <w:t>But t</w:t>
      </w:r>
      <w:r w:rsidRPr="00951D01">
        <w:rPr>
          <w:sz w:val="24"/>
          <w:szCs w:val="24"/>
        </w:rPr>
        <w:t xml:space="preserve">here is the potential for positive </w:t>
      </w:r>
      <w:r w:rsidR="00AD1643" w:rsidRPr="00951D01">
        <w:rPr>
          <w:sz w:val="24"/>
          <w:szCs w:val="24"/>
        </w:rPr>
        <w:t>events</w:t>
      </w:r>
      <w:r w:rsidRPr="00951D01">
        <w:rPr>
          <w:sz w:val="24"/>
          <w:szCs w:val="24"/>
        </w:rPr>
        <w:t xml:space="preserve"> to lead to a market rally. The resumption of trade talks between the U</w:t>
      </w:r>
      <w:r w:rsidR="00C74326" w:rsidRPr="00951D01">
        <w:rPr>
          <w:sz w:val="24"/>
          <w:szCs w:val="24"/>
        </w:rPr>
        <w:t>.</w:t>
      </w:r>
      <w:r w:rsidRPr="00951D01">
        <w:rPr>
          <w:sz w:val="24"/>
          <w:szCs w:val="24"/>
        </w:rPr>
        <w:t>S</w:t>
      </w:r>
      <w:r w:rsidR="00C74326" w:rsidRPr="00951D01">
        <w:rPr>
          <w:sz w:val="24"/>
          <w:szCs w:val="24"/>
        </w:rPr>
        <w:t>.</w:t>
      </w:r>
      <w:r w:rsidRPr="00951D01">
        <w:rPr>
          <w:sz w:val="24"/>
          <w:szCs w:val="24"/>
        </w:rPr>
        <w:t xml:space="preserve"> and China in January is just one example of a potential tailwind. </w:t>
      </w:r>
      <w:r w:rsidR="00AD1643" w:rsidRPr="00951D01">
        <w:rPr>
          <w:sz w:val="24"/>
          <w:szCs w:val="24"/>
        </w:rPr>
        <w:t xml:space="preserve">In Europe, more clarity </w:t>
      </w:r>
      <w:r w:rsidR="00A61BFE" w:rsidRPr="00951D01">
        <w:rPr>
          <w:sz w:val="24"/>
          <w:szCs w:val="24"/>
        </w:rPr>
        <w:t>on</w:t>
      </w:r>
      <w:r w:rsidR="00AD1643" w:rsidRPr="00951D01">
        <w:rPr>
          <w:sz w:val="24"/>
          <w:szCs w:val="24"/>
        </w:rPr>
        <w:t xml:space="preserve"> Brexit would likely lead to a rally in those markets.</w:t>
      </w:r>
    </w:p>
    <w:p w14:paraId="1AC75278" w14:textId="77777777" w:rsidR="008B1B2E" w:rsidRPr="00951D01" w:rsidRDefault="008B1B2E" w:rsidP="00226935">
      <w:pPr>
        <w:spacing w:after="0" w:line="240" w:lineRule="auto"/>
        <w:rPr>
          <w:sz w:val="24"/>
          <w:szCs w:val="24"/>
        </w:rPr>
      </w:pPr>
    </w:p>
    <w:p w14:paraId="6BB38AAD" w14:textId="77777777" w:rsidR="008B1B2E" w:rsidRPr="00951D01" w:rsidRDefault="008B1B2E" w:rsidP="00226935">
      <w:pPr>
        <w:spacing w:after="0" w:line="240" w:lineRule="auto"/>
        <w:rPr>
          <w:color w:val="333399"/>
          <w:sz w:val="24"/>
          <w:szCs w:val="24"/>
        </w:rPr>
      </w:pPr>
      <w:bookmarkStart w:id="2" w:name="_GoBack"/>
      <w:r w:rsidRPr="00951D01">
        <w:rPr>
          <w:b/>
          <w:color w:val="333399"/>
          <w:sz w:val="24"/>
          <w:szCs w:val="24"/>
        </w:rPr>
        <w:t>Risks remain</w:t>
      </w:r>
      <w:r w:rsidR="00C74326" w:rsidRPr="00951D01">
        <w:rPr>
          <w:b/>
          <w:color w:val="333399"/>
          <w:sz w:val="24"/>
          <w:szCs w:val="24"/>
        </w:rPr>
        <w:t>,</w:t>
      </w:r>
      <w:r w:rsidRPr="00951D01">
        <w:rPr>
          <w:b/>
          <w:color w:val="333399"/>
          <w:sz w:val="24"/>
          <w:szCs w:val="24"/>
        </w:rPr>
        <w:t xml:space="preserve"> but U</w:t>
      </w:r>
      <w:r w:rsidR="00C74326" w:rsidRPr="00951D01">
        <w:rPr>
          <w:b/>
          <w:color w:val="333399"/>
          <w:sz w:val="24"/>
          <w:szCs w:val="24"/>
        </w:rPr>
        <w:t>.</w:t>
      </w:r>
      <w:r w:rsidRPr="00951D01">
        <w:rPr>
          <w:b/>
          <w:color w:val="333399"/>
          <w:sz w:val="24"/>
          <w:szCs w:val="24"/>
        </w:rPr>
        <w:t>S</w:t>
      </w:r>
      <w:r w:rsidR="00C74326" w:rsidRPr="00951D01">
        <w:rPr>
          <w:b/>
          <w:color w:val="333399"/>
          <w:sz w:val="24"/>
          <w:szCs w:val="24"/>
        </w:rPr>
        <w:t>.</w:t>
      </w:r>
      <w:r w:rsidRPr="00951D01">
        <w:rPr>
          <w:b/>
          <w:color w:val="333399"/>
          <w:sz w:val="24"/>
          <w:szCs w:val="24"/>
        </w:rPr>
        <w:t xml:space="preserve"> outlook remains strong</w:t>
      </w:r>
    </w:p>
    <w:bookmarkEnd w:id="2"/>
    <w:p w14:paraId="61DBFAD1" w14:textId="698C3B8D" w:rsidR="008B1B2E" w:rsidRPr="00951D01" w:rsidRDefault="008B1B2E" w:rsidP="00226935">
      <w:pPr>
        <w:spacing w:after="0" w:line="240" w:lineRule="auto"/>
        <w:rPr>
          <w:sz w:val="24"/>
          <w:szCs w:val="24"/>
        </w:rPr>
      </w:pPr>
      <w:r w:rsidRPr="00951D01">
        <w:rPr>
          <w:sz w:val="24"/>
          <w:szCs w:val="24"/>
        </w:rPr>
        <w:lastRenderedPageBreak/>
        <w:t>Heading into 2019, there are still areas of the economy worth monitoring</w:t>
      </w:r>
      <w:r w:rsidR="00DB1A05" w:rsidRPr="00951D01">
        <w:rPr>
          <w:sz w:val="24"/>
          <w:szCs w:val="24"/>
        </w:rPr>
        <w:t>.</w:t>
      </w:r>
      <w:r w:rsidRPr="00951D01">
        <w:rPr>
          <w:sz w:val="24"/>
          <w:szCs w:val="24"/>
        </w:rPr>
        <w:t xml:space="preserve"> </w:t>
      </w:r>
      <w:r w:rsidR="00D21DA2" w:rsidRPr="00951D01">
        <w:rPr>
          <w:sz w:val="24"/>
          <w:szCs w:val="24"/>
        </w:rPr>
        <w:t>But o</w:t>
      </w:r>
      <w:r w:rsidRPr="00951D01">
        <w:rPr>
          <w:sz w:val="24"/>
          <w:szCs w:val="24"/>
        </w:rPr>
        <w:t>n the whole</w:t>
      </w:r>
      <w:r w:rsidR="00DB1A05" w:rsidRPr="00951D01">
        <w:rPr>
          <w:sz w:val="24"/>
          <w:szCs w:val="24"/>
        </w:rPr>
        <w:t>,</w:t>
      </w:r>
      <w:r w:rsidRPr="00951D01">
        <w:rPr>
          <w:sz w:val="24"/>
          <w:szCs w:val="24"/>
        </w:rPr>
        <w:t xml:space="preserve"> things look pretty good here in the U</w:t>
      </w:r>
      <w:r w:rsidR="00DB1A05" w:rsidRPr="00951D01">
        <w:rPr>
          <w:sz w:val="24"/>
          <w:szCs w:val="24"/>
        </w:rPr>
        <w:t>.</w:t>
      </w:r>
      <w:r w:rsidRPr="00951D01">
        <w:rPr>
          <w:sz w:val="24"/>
          <w:szCs w:val="24"/>
        </w:rPr>
        <w:t>S. Our economy continues to expand at a healthy pace, driven by co</w:t>
      </w:r>
      <w:r w:rsidR="00AD1643" w:rsidRPr="00951D01">
        <w:rPr>
          <w:sz w:val="24"/>
          <w:szCs w:val="24"/>
        </w:rPr>
        <w:t>nfident consumers and business owners</w:t>
      </w:r>
      <w:r w:rsidRPr="00951D01">
        <w:rPr>
          <w:sz w:val="24"/>
          <w:szCs w:val="24"/>
        </w:rPr>
        <w:t xml:space="preserve"> spending more. Corporate fundamentals </w:t>
      </w:r>
      <w:r w:rsidR="00A53283" w:rsidRPr="00951D01">
        <w:rPr>
          <w:sz w:val="24"/>
          <w:szCs w:val="24"/>
        </w:rPr>
        <w:t xml:space="preserve">also </w:t>
      </w:r>
      <w:r w:rsidRPr="00951D01">
        <w:rPr>
          <w:sz w:val="24"/>
          <w:szCs w:val="24"/>
        </w:rPr>
        <w:t>remain strong</w:t>
      </w:r>
      <w:r w:rsidR="00CD496A" w:rsidRPr="00951D01">
        <w:rPr>
          <w:sz w:val="24"/>
          <w:szCs w:val="24"/>
        </w:rPr>
        <w:t>.</w:t>
      </w:r>
      <w:r w:rsidRPr="00951D01">
        <w:rPr>
          <w:sz w:val="24"/>
          <w:szCs w:val="24"/>
        </w:rPr>
        <w:t xml:space="preserve"> </w:t>
      </w:r>
      <w:r w:rsidR="00CD496A" w:rsidRPr="00951D01">
        <w:rPr>
          <w:sz w:val="24"/>
          <w:szCs w:val="24"/>
        </w:rPr>
        <w:t>A</w:t>
      </w:r>
      <w:r w:rsidR="00DB1A05" w:rsidRPr="00951D01">
        <w:rPr>
          <w:sz w:val="24"/>
          <w:szCs w:val="24"/>
        </w:rPr>
        <w:t>lthough</w:t>
      </w:r>
      <w:r w:rsidRPr="00951D01">
        <w:rPr>
          <w:sz w:val="24"/>
          <w:szCs w:val="24"/>
        </w:rPr>
        <w:t xml:space="preserve"> the </w:t>
      </w:r>
      <w:r w:rsidR="00B954B6" w:rsidRPr="00951D01">
        <w:rPr>
          <w:sz w:val="24"/>
          <w:szCs w:val="24"/>
        </w:rPr>
        <w:t>effects of</w:t>
      </w:r>
      <w:r w:rsidRPr="00951D01">
        <w:rPr>
          <w:sz w:val="24"/>
          <w:szCs w:val="24"/>
        </w:rPr>
        <w:t xml:space="preserve"> tax reform may moderate, continued deregulation should help </w:t>
      </w:r>
      <w:r w:rsidR="00AD1643" w:rsidRPr="00951D01">
        <w:rPr>
          <w:sz w:val="24"/>
          <w:szCs w:val="24"/>
        </w:rPr>
        <w:t>support</w:t>
      </w:r>
      <w:r w:rsidRPr="00951D01">
        <w:rPr>
          <w:sz w:val="24"/>
          <w:szCs w:val="24"/>
        </w:rPr>
        <w:t xml:space="preserve"> these results.</w:t>
      </w:r>
    </w:p>
    <w:p w14:paraId="4F321A63" w14:textId="77777777" w:rsidR="008B1B2E" w:rsidRPr="00951D01" w:rsidRDefault="008B1B2E" w:rsidP="00226935">
      <w:pPr>
        <w:spacing w:after="0" w:line="240" w:lineRule="auto"/>
        <w:rPr>
          <w:sz w:val="24"/>
          <w:szCs w:val="24"/>
        </w:rPr>
      </w:pPr>
    </w:p>
    <w:p w14:paraId="502B2879" w14:textId="47E1C5B4" w:rsidR="008B1B2E" w:rsidRPr="00951D01" w:rsidRDefault="002C7C27" w:rsidP="00226935">
      <w:pPr>
        <w:spacing w:after="0" w:line="240" w:lineRule="auto"/>
        <w:rPr>
          <w:sz w:val="24"/>
          <w:szCs w:val="24"/>
        </w:rPr>
      </w:pPr>
      <w:r w:rsidRPr="00951D01">
        <w:rPr>
          <w:sz w:val="24"/>
          <w:szCs w:val="24"/>
        </w:rPr>
        <w:t>A</w:t>
      </w:r>
      <w:r w:rsidR="008B1B2E" w:rsidRPr="00951D01">
        <w:rPr>
          <w:sz w:val="24"/>
          <w:szCs w:val="24"/>
        </w:rPr>
        <w:t xml:space="preserve">s we have seen this year, risks certainly still remain, even in a good economic environment. Political risks are </w:t>
      </w:r>
      <w:r w:rsidR="007777FB" w:rsidRPr="00951D01">
        <w:rPr>
          <w:sz w:val="24"/>
          <w:szCs w:val="24"/>
        </w:rPr>
        <w:t>likely to drive volatility in 2019</w:t>
      </w:r>
      <w:r w:rsidR="00DB1A05" w:rsidRPr="00951D01">
        <w:rPr>
          <w:sz w:val="24"/>
          <w:szCs w:val="24"/>
        </w:rPr>
        <w:t>—</w:t>
      </w:r>
      <w:r w:rsidR="007777FB" w:rsidRPr="00951D01">
        <w:rPr>
          <w:sz w:val="24"/>
          <w:szCs w:val="24"/>
        </w:rPr>
        <w:t>but it is anyone’s guess as to how and when. Given the volatile times we are in, a well-diversified portfolio matche</w:t>
      </w:r>
      <w:r w:rsidR="00767645" w:rsidRPr="00951D01">
        <w:rPr>
          <w:sz w:val="24"/>
          <w:szCs w:val="24"/>
        </w:rPr>
        <w:t>d with</w:t>
      </w:r>
      <w:r w:rsidR="007777FB" w:rsidRPr="00951D01">
        <w:rPr>
          <w:sz w:val="24"/>
          <w:szCs w:val="24"/>
        </w:rPr>
        <w:t xml:space="preserve"> </w:t>
      </w:r>
      <w:r w:rsidR="00767645" w:rsidRPr="00951D01">
        <w:rPr>
          <w:sz w:val="24"/>
          <w:szCs w:val="24"/>
        </w:rPr>
        <w:t xml:space="preserve">an </w:t>
      </w:r>
      <w:r w:rsidR="007777FB" w:rsidRPr="00951D01">
        <w:rPr>
          <w:sz w:val="24"/>
          <w:szCs w:val="24"/>
        </w:rPr>
        <w:t>investor</w:t>
      </w:r>
      <w:r w:rsidR="00767645" w:rsidRPr="00951D01">
        <w:rPr>
          <w:sz w:val="24"/>
          <w:szCs w:val="24"/>
        </w:rPr>
        <w:t>’s</w:t>
      </w:r>
      <w:r w:rsidR="007777FB" w:rsidRPr="00951D01">
        <w:rPr>
          <w:sz w:val="24"/>
          <w:szCs w:val="24"/>
        </w:rPr>
        <w:t xml:space="preserve"> time horizon remains the best path to </w:t>
      </w:r>
      <w:r w:rsidR="00767645" w:rsidRPr="00951D01">
        <w:rPr>
          <w:sz w:val="24"/>
          <w:szCs w:val="24"/>
        </w:rPr>
        <w:t xml:space="preserve">ride out turbulent times and </w:t>
      </w:r>
      <w:r w:rsidR="007777FB" w:rsidRPr="00951D01">
        <w:rPr>
          <w:sz w:val="24"/>
          <w:szCs w:val="24"/>
        </w:rPr>
        <w:t xml:space="preserve">meet </w:t>
      </w:r>
      <w:r w:rsidR="00767645" w:rsidRPr="00951D01">
        <w:rPr>
          <w:sz w:val="24"/>
          <w:szCs w:val="24"/>
        </w:rPr>
        <w:t>financial goals</w:t>
      </w:r>
      <w:r w:rsidR="007777FB" w:rsidRPr="00951D01">
        <w:rPr>
          <w:sz w:val="24"/>
          <w:szCs w:val="24"/>
        </w:rPr>
        <w:t>.</w:t>
      </w:r>
    </w:p>
    <w:p w14:paraId="22BC8200" w14:textId="77777777" w:rsidR="00E80389" w:rsidRPr="00951D01" w:rsidRDefault="00E80389" w:rsidP="00226935">
      <w:pPr>
        <w:spacing w:after="0" w:line="240" w:lineRule="auto"/>
        <w:rPr>
          <w:sz w:val="24"/>
          <w:szCs w:val="24"/>
        </w:rPr>
      </w:pPr>
    </w:p>
    <w:p w14:paraId="34D3FDE3" w14:textId="77777777" w:rsidR="009455AD" w:rsidRPr="00951D01" w:rsidRDefault="009455AD" w:rsidP="009455AD">
      <w:pPr>
        <w:spacing w:after="0" w:line="240" w:lineRule="auto"/>
        <w:rPr>
          <w:i/>
          <w:iCs/>
          <w:sz w:val="20"/>
          <w:szCs w:val="20"/>
        </w:rPr>
      </w:pPr>
      <w:r w:rsidRPr="00951D01">
        <w:rPr>
          <w:i/>
          <w:iCs/>
          <w:sz w:val="20"/>
          <w:szCs w:val="20"/>
        </w:rPr>
        <w:t xml:space="preserve">All information according to Bloomberg, unless stated otherwise. </w:t>
      </w:r>
    </w:p>
    <w:p w14:paraId="43BFB6AB" w14:textId="77777777" w:rsidR="009455AD" w:rsidRPr="00951D01" w:rsidRDefault="009455AD" w:rsidP="009455AD">
      <w:pPr>
        <w:spacing w:after="0" w:line="240" w:lineRule="auto"/>
        <w:rPr>
          <w:i/>
          <w:iCs/>
          <w:sz w:val="20"/>
          <w:szCs w:val="20"/>
        </w:rPr>
      </w:pPr>
    </w:p>
    <w:p w14:paraId="2CCFA9B8" w14:textId="77777777" w:rsidR="009455AD" w:rsidRPr="00951D01" w:rsidRDefault="009455AD" w:rsidP="009455AD">
      <w:pPr>
        <w:spacing w:after="0" w:line="240" w:lineRule="auto"/>
        <w:rPr>
          <w:i/>
          <w:iCs/>
          <w:sz w:val="20"/>
          <w:szCs w:val="20"/>
        </w:rPr>
      </w:pPr>
      <w:r w:rsidRPr="00951D01">
        <w:rPr>
          <w:b/>
          <w:bCs/>
          <w:i/>
          <w:iCs/>
          <w:sz w:val="20"/>
          <w:szCs w:val="20"/>
        </w:rPr>
        <w:t>Disclosure:</w:t>
      </w:r>
      <w:r w:rsidRPr="00951D01">
        <w:rPr>
          <w:i/>
          <w:sz w:val="20"/>
          <w:szCs w:val="20"/>
        </w:rPr>
        <w:t xml:space="preserve"> </w:t>
      </w:r>
      <w:r w:rsidRPr="00951D01">
        <w:rPr>
          <w:i/>
          <w:iCs/>
          <w:sz w:val="20"/>
          <w:szCs w:val="20"/>
        </w:rPr>
        <w:t xml:space="preserve">Certain sections of this commentary contain forward-looking statements based on our reasonable expectations, estimates, projections, and assumptions. Forward-looking statements are not guarantees of future performance and involve certain risks and uncertainties, which are difficult to predict. Past performance is not indicative of future results. Diversification does not assure a profit or protect against loss in declining markets. All indices are unmanaged and investors cannot invest directly into an index. The Dow Jones Industrial Average is a price-weighted average of 30 actively traded blue-chip stocks. The S&amp;P 500 Index is a broad-based measurement of changes in stock market conditions based on the average performance of 500 widely held common stocks. </w:t>
      </w:r>
      <w:r w:rsidRPr="00951D01">
        <w:rPr>
          <w:i/>
          <w:sz w:val="20"/>
          <w:szCs w:val="20"/>
        </w:rPr>
        <w:t>The Nasdaq Composite Index measures the performance of all issues listed in the Nasdaq Stock Market, except for rights, warrants, units, and convertible debentures.</w:t>
      </w:r>
      <w:r w:rsidRPr="00951D01">
        <w:rPr>
          <w:i/>
          <w:iCs/>
          <w:sz w:val="20"/>
          <w:szCs w:val="20"/>
        </w:rPr>
        <w:t xml:space="preserve"> The MSCI EAFE Index is a float-adjusted market capitalization index designed to measure developed market equity performance, excluding the U.S. and Canada. The MSCI Emerging Markets Index is a market capitalization-weighted index composed of companies representative of the market structure of 26 emerging market countries in Europe, Latin America, and the Pacific Basin. It </w:t>
      </w:r>
      <w:r w:rsidRPr="00951D01">
        <w:rPr>
          <w:i/>
          <w:sz w:val="20"/>
          <w:szCs w:val="20"/>
        </w:rPr>
        <w:t xml:space="preserve">excludes closed markets and those shares in otherwise free markets that are not purchasable by foreigners. </w:t>
      </w:r>
      <w:r w:rsidRPr="00951D01">
        <w:rPr>
          <w:i/>
          <w:iCs/>
          <w:sz w:val="20"/>
          <w:szCs w:val="20"/>
        </w:rPr>
        <w:t xml:space="preserve">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14:paraId="35AECB64" w14:textId="77777777" w:rsidR="009455AD" w:rsidRPr="00951D01" w:rsidRDefault="009455AD" w:rsidP="009455AD">
      <w:pPr>
        <w:spacing w:after="0" w:line="240" w:lineRule="auto"/>
        <w:ind w:left="-720" w:firstLine="720"/>
        <w:jc w:val="center"/>
        <w:rPr>
          <w:b/>
          <w:sz w:val="20"/>
          <w:szCs w:val="20"/>
        </w:rPr>
      </w:pPr>
    </w:p>
    <w:p w14:paraId="0DBD831D" w14:textId="77777777" w:rsidR="009455AD" w:rsidRPr="00951D01" w:rsidRDefault="009455AD" w:rsidP="009455AD">
      <w:pPr>
        <w:spacing w:after="0" w:line="240" w:lineRule="auto"/>
        <w:ind w:left="-720" w:firstLine="720"/>
        <w:jc w:val="center"/>
        <w:rPr>
          <w:b/>
          <w:sz w:val="20"/>
          <w:szCs w:val="20"/>
        </w:rPr>
      </w:pPr>
      <w:r w:rsidRPr="00951D01">
        <w:rPr>
          <w:b/>
          <w:sz w:val="20"/>
          <w:szCs w:val="20"/>
        </w:rPr>
        <w:t>###</w:t>
      </w:r>
    </w:p>
    <w:p w14:paraId="3A5BA376" w14:textId="77777777" w:rsidR="009455AD" w:rsidRPr="00951D01" w:rsidRDefault="009455AD" w:rsidP="009455AD">
      <w:pPr>
        <w:spacing w:after="0" w:line="240" w:lineRule="auto"/>
        <w:ind w:left="-720" w:firstLine="720"/>
        <w:jc w:val="center"/>
        <w:rPr>
          <w:b/>
          <w:sz w:val="20"/>
          <w:szCs w:val="20"/>
        </w:rPr>
      </w:pPr>
    </w:p>
    <w:p w14:paraId="689ABAFC" w14:textId="1ECE6355" w:rsidR="009455AD" w:rsidRPr="00951D01" w:rsidRDefault="009455AD" w:rsidP="009455AD">
      <w:pPr>
        <w:keepNext/>
        <w:spacing w:after="0" w:line="240" w:lineRule="auto"/>
        <w:rPr>
          <w:sz w:val="20"/>
          <w:szCs w:val="20"/>
        </w:rPr>
      </w:pPr>
      <w:r w:rsidRPr="00951D01">
        <w:rPr>
          <w:b/>
          <w:bCs/>
          <w:sz w:val="20"/>
          <w:szCs w:val="20"/>
        </w:rPr>
        <w:t>For Registered Representatives</w:t>
      </w:r>
      <w:r w:rsidR="00951D01" w:rsidRPr="00951D01">
        <w:rPr>
          <w:b/>
          <w:bCs/>
          <w:sz w:val="20"/>
          <w:szCs w:val="20"/>
        </w:rPr>
        <w:t>: Marianna Goldenberg</w:t>
      </w:r>
      <w:r w:rsidRPr="00951D01">
        <w:rPr>
          <w:sz w:val="20"/>
          <w:szCs w:val="20"/>
        </w:rPr>
        <w:t xml:space="preserve"> is a financial consultant located at </w:t>
      </w:r>
      <w:r w:rsidR="00951D01" w:rsidRPr="00951D01">
        <w:rPr>
          <w:sz w:val="20"/>
          <w:szCs w:val="20"/>
        </w:rPr>
        <w:t xml:space="preserve">CURO Wealth Management, 1705 Langhorne Newtown Road, </w:t>
      </w:r>
      <w:proofErr w:type="gramStart"/>
      <w:r w:rsidR="00951D01" w:rsidRPr="00951D01">
        <w:rPr>
          <w:sz w:val="20"/>
          <w:szCs w:val="20"/>
        </w:rPr>
        <w:t>Langhorne</w:t>
      </w:r>
      <w:proofErr w:type="gramEnd"/>
      <w:r w:rsidR="00951D01" w:rsidRPr="00951D01">
        <w:rPr>
          <w:sz w:val="20"/>
          <w:szCs w:val="20"/>
        </w:rPr>
        <w:t xml:space="preserve"> PA 19047</w:t>
      </w:r>
      <w:r w:rsidRPr="00951D01">
        <w:rPr>
          <w:sz w:val="20"/>
          <w:szCs w:val="20"/>
        </w:rPr>
        <w:t xml:space="preserve">. </w:t>
      </w:r>
      <w:r w:rsidR="00951D01" w:rsidRPr="00951D01">
        <w:rPr>
          <w:sz w:val="20"/>
          <w:szCs w:val="20"/>
        </w:rPr>
        <w:t>She</w:t>
      </w:r>
      <w:r w:rsidRPr="00951D01">
        <w:rPr>
          <w:sz w:val="20"/>
          <w:szCs w:val="20"/>
        </w:rPr>
        <w:t xml:space="preserve"> offers securities as a Registered Representative of Commonwealth Financial Network</w:t>
      </w:r>
      <w:r w:rsidRPr="00951D01">
        <w:rPr>
          <w:sz w:val="20"/>
          <w:szCs w:val="20"/>
          <w:vertAlign w:val="superscript"/>
        </w:rPr>
        <w:t>®</w:t>
      </w:r>
      <w:r w:rsidRPr="00951D01">
        <w:rPr>
          <w:sz w:val="20"/>
          <w:szCs w:val="20"/>
        </w:rPr>
        <w:t xml:space="preserve">, Member FINRA/SIPC. </w:t>
      </w:r>
      <w:r w:rsidR="00951D01" w:rsidRPr="00951D01">
        <w:rPr>
          <w:sz w:val="20"/>
          <w:szCs w:val="20"/>
        </w:rPr>
        <w:t>She</w:t>
      </w:r>
      <w:r w:rsidRPr="00951D01">
        <w:rPr>
          <w:sz w:val="20"/>
          <w:szCs w:val="20"/>
        </w:rPr>
        <w:t xml:space="preserve"> can be reached at </w:t>
      </w:r>
      <w:r w:rsidR="00951D01" w:rsidRPr="00951D01">
        <w:rPr>
          <w:sz w:val="20"/>
          <w:szCs w:val="20"/>
        </w:rPr>
        <w:t>215-486-8350 or via email at marianna@curowm.com</w:t>
      </w:r>
    </w:p>
    <w:p w14:paraId="13043C94" w14:textId="77777777" w:rsidR="009455AD" w:rsidRPr="00951D01" w:rsidRDefault="009455AD" w:rsidP="009455AD">
      <w:pPr>
        <w:keepNext/>
        <w:spacing w:after="0" w:line="240" w:lineRule="auto"/>
        <w:rPr>
          <w:b/>
          <w:bCs/>
          <w:sz w:val="20"/>
          <w:szCs w:val="20"/>
        </w:rPr>
      </w:pPr>
    </w:p>
    <w:p w14:paraId="4A43E477" w14:textId="77777777" w:rsidR="009455AD" w:rsidRPr="00951D01" w:rsidRDefault="009455AD" w:rsidP="009455AD">
      <w:pPr>
        <w:spacing w:after="0" w:line="240" w:lineRule="auto"/>
        <w:rPr>
          <w:sz w:val="20"/>
          <w:szCs w:val="20"/>
        </w:rPr>
      </w:pPr>
    </w:p>
    <w:p w14:paraId="29A08744" w14:textId="77777777" w:rsidR="009455AD" w:rsidRPr="00951D01" w:rsidRDefault="009455AD" w:rsidP="009455AD">
      <w:pPr>
        <w:spacing w:after="0" w:line="240" w:lineRule="auto"/>
        <w:rPr>
          <w:sz w:val="20"/>
          <w:szCs w:val="20"/>
        </w:rPr>
      </w:pPr>
      <w:r w:rsidRPr="00951D01">
        <w:rPr>
          <w:sz w:val="20"/>
          <w:szCs w:val="20"/>
        </w:rPr>
        <w:t>Authored by Brad McMillan, CFA</w:t>
      </w:r>
      <w:r w:rsidRPr="00951D01">
        <w:rPr>
          <w:sz w:val="20"/>
          <w:szCs w:val="20"/>
          <w:vertAlign w:val="superscript"/>
        </w:rPr>
        <w:t>®</w:t>
      </w:r>
      <w:r w:rsidRPr="00951D01">
        <w:rPr>
          <w:sz w:val="20"/>
          <w:szCs w:val="20"/>
        </w:rPr>
        <w:t>, CAIA, MAI, managing principal, chief investment officer, and Sam Millette, fixed income analyst, at Commonwealth Financial Network</w:t>
      </w:r>
      <w:r w:rsidRPr="00951D01">
        <w:rPr>
          <w:b/>
          <w:sz w:val="20"/>
          <w:szCs w:val="20"/>
          <w:vertAlign w:val="superscript"/>
        </w:rPr>
        <w:t>®</w:t>
      </w:r>
      <w:r w:rsidRPr="00951D01">
        <w:rPr>
          <w:sz w:val="20"/>
          <w:szCs w:val="20"/>
        </w:rPr>
        <w:t>.</w:t>
      </w:r>
    </w:p>
    <w:p w14:paraId="0E7213F9" w14:textId="77777777" w:rsidR="00E877D9" w:rsidRPr="00951D01" w:rsidRDefault="00E877D9" w:rsidP="00226935">
      <w:pPr>
        <w:spacing w:after="0" w:line="240" w:lineRule="auto"/>
        <w:rPr>
          <w:sz w:val="20"/>
          <w:szCs w:val="20"/>
        </w:rPr>
      </w:pPr>
    </w:p>
    <w:p w14:paraId="4974E9E2" w14:textId="77777777" w:rsidR="00E877D9" w:rsidRPr="00951D01" w:rsidRDefault="00E877D9" w:rsidP="006A53F7">
      <w:pPr>
        <w:spacing w:after="0" w:line="240" w:lineRule="auto"/>
        <w:ind w:left="-720" w:firstLine="720"/>
        <w:rPr>
          <w:sz w:val="20"/>
          <w:szCs w:val="20"/>
        </w:rPr>
      </w:pPr>
      <w:r w:rsidRPr="00951D01">
        <w:rPr>
          <w:b/>
          <w:sz w:val="20"/>
          <w:szCs w:val="20"/>
        </w:rPr>
        <w:t>© 201</w:t>
      </w:r>
      <w:r w:rsidR="006A53F7" w:rsidRPr="00951D01">
        <w:rPr>
          <w:b/>
          <w:sz w:val="20"/>
          <w:szCs w:val="20"/>
        </w:rPr>
        <w:t>9</w:t>
      </w:r>
      <w:r w:rsidRPr="00951D01">
        <w:rPr>
          <w:b/>
          <w:sz w:val="20"/>
          <w:szCs w:val="20"/>
        </w:rPr>
        <w:t xml:space="preserve"> Commonwealth Financial Network</w:t>
      </w:r>
      <w:r w:rsidRPr="00951D01">
        <w:rPr>
          <w:b/>
          <w:sz w:val="20"/>
          <w:szCs w:val="20"/>
          <w:vertAlign w:val="superscript"/>
        </w:rPr>
        <w:t>®</w:t>
      </w:r>
    </w:p>
    <w:sectPr w:rsidR="00E877D9" w:rsidRPr="0095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877D9"/>
    <w:rsid w:val="00025596"/>
    <w:rsid w:val="000569FE"/>
    <w:rsid w:val="0006333F"/>
    <w:rsid w:val="00086637"/>
    <w:rsid w:val="00090D51"/>
    <w:rsid w:val="000C5525"/>
    <w:rsid w:val="000E2ACC"/>
    <w:rsid w:val="000F65FE"/>
    <w:rsid w:val="0010014F"/>
    <w:rsid w:val="00116061"/>
    <w:rsid w:val="00124B16"/>
    <w:rsid w:val="00126472"/>
    <w:rsid w:val="00136D48"/>
    <w:rsid w:val="0013717B"/>
    <w:rsid w:val="00140918"/>
    <w:rsid w:val="001476D0"/>
    <w:rsid w:val="00161219"/>
    <w:rsid w:val="001D1A01"/>
    <w:rsid w:val="001E4EC1"/>
    <w:rsid w:val="00216550"/>
    <w:rsid w:val="0022132E"/>
    <w:rsid w:val="00226675"/>
    <w:rsid w:val="00226935"/>
    <w:rsid w:val="00233858"/>
    <w:rsid w:val="00254304"/>
    <w:rsid w:val="00254912"/>
    <w:rsid w:val="00277207"/>
    <w:rsid w:val="00277447"/>
    <w:rsid w:val="0028562C"/>
    <w:rsid w:val="0029003E"/>
    <w:rsid w:val="002C4AA7"/>
    <w:rsid w:val="002C7C27"/>
    <w:rsid w:val="002F7A32"/>
    <w:rsid w:val="003155C2"/>
    <w:rsid w:val="00343065"/>
    <w:rsid w:val="00346F6C"/>
    <w:rsid w:val="0035197B"/>
    <w:rsid w:val="00356F3C"/>
    <w:rsid w:val="003605C4"/>
    <w:rsid w:val="003633CD"/>
    <w:rsid w:val="00374D8D"/>
    <w:rsid w:val="00376BCA"/>
    <w:rsid w:val="00383E0F"/>
    <w:rsid w:val="00391841"/>
    <w:rsid w:val="00396268"/>
    <w:rsid w:val="003C04B4"/>
    <w:rsid w:val="003E5817"/>
    <w:rsid w:val="003E6E9B"/>
    <w:rsid w:val="003F3B47"/>
    <w:rsid w:val="00415191"/>
    <w:rsid w:val="0043495E"/>
    <w:rsid w:val="00444297"/>
    <w:rsid w:val="00462098"/>
    <w:rsid w:val="00466D52"/>
    <w:rsid w:val="00485B4D"/>
    <w:rsid w:val="00495CDD"/>
    <w:rsid w:val="004A2288"/>
    <w:rsid w:val="004B70CD"/>
    <w:rsid w:val="004B7800"/>
    <w:rsid w:val="004C0D3C"/>
    <w:rsid w:val="004E7A02"/>
    <w:rsid w:val="004F10EB"/>
    <w:rsid w:val="00500771"/>
    <w:rsid w:val="00526766"/>
    <w:rsid w:val="00535F54"/>
    <w:rsid w:val="00557596"/>
    <w:rsid w:val="005B60B6"/>
    <w:rsid w:val="005E0A53"/>
    <w:rsid w:val="005E7982"/>
    <w:rsid w:val="005F181E"/>
    <w:rsid w:val="00601A2F"/>
    <w:rsid w:val="00603823"/>
    <w:rsid w:val="00615B10"/>
    <w:rsid w:val="0065432A"/>
    <w:rsid w:val="00661355"/>
    <w:rsid w:val="00683F60"/>
    <w:rsid w:val="006A53F7"/>
    <w:rsid w:val="006C2A48"/>
    <w:rsid w:val="006D0AF8"/>
    <w:rsid w:val="006F0FAC"/>
    <w:rsid w:val="0073356C"/>
    <w:rsid w:val="00767645"/>
    <w:rsid w:val="007777FB"/>
    <w:rsid w:val="007961AF"/>
    <w:rsid w:val="007A2C91"/>
    <w:rsid w:val="007B05D7"/>
    <w:rsid w:val="007F7871"/>
    <w:rsid w:val="00815051"/>
    <w:rsid w:val="0082494C"/>
    <w:rsid w:val="00833ADA"/>
    <w:rsid w:val="008513C3"/>
    <w:rsid w:val="00852256"/>
    <w:rsid w:val="008531CA"/>
    <w:rsid w:val="00860368"/>
    <w:rsid w:val="008654B5"/>
    <w:rsid w:val="0089349A"/>
    <w:rsid w:val="008976C8"/>
    <w:rsid w:val="008A2A1E"/>
    <w:rsid w:val="008B1B2E"/>
    <w:rsid w:val="008E0280"/>
    <w:rsid w:val="008F5A4C"/>
    <w:rsid w:val="00905A7A"/>
    <w:rsid w:val="00907EAB"/>
    <w:rsid w:val="00923DB0"/>
    <w:rsid w:val="00927874"/>
    <w:rsid w:val="009455AD"/>
    <w:rsid w:val="00951D01"/>
    <w:rsid w:val="00961624"/>
    <w:rsid w:val="009E1427"/>
    <w:rsid w:val="009E3296"/>
    <w:rsid w:val="009F4578"/>
    <w:rsid w:val="00A10FF0"/>
    <w:rsid w:val="00A30085"/>
    <w:rsid w:val="00A53283"/>
    <w:rsid w:val="00A61BFE"/>
    <w:rsid w:val="00AA0ED2"/>
    <w:rsid w:val="00AA3A3A"/>
    <w:rsid w:val="00AB1DD8"/>
    <w:rsid w:val="00AB796D"/>
    <w:rsid w:val="00AD1643"/>
    <w:rsid w:val="00AF148E"/>
    <w:rsid w:val="00AF44EF"/>
    <w:rsid w:val="00B011C8"/>
    <w:rsid w:val="00B1666D"/>
    <w:rsid w:val="00B24C99"/>
    <w:rsid w:val="00B42DB8"/>
    <w:rsid w:val="00B655A1"/>
    <w:rsid w:val="00B67B4B"/>
    <w:rsid w:val="00B840DE"/>
    <w:rsid w:val="00B954B6"/>
    <w:rsid w:val="00BD521E"/>
    <w:rsid w:val="00BD6A6A"/>
    <w:rsid w:val="00BE035B"/>
    <w:rsid w:val="00BE62AF"/>
    <w:rsid w:val="00BF74FC"/>
    <w:rsid w:val="00C046A2"/>
    <w:rsid w:val="00C05A3E"/>
    <w:rsid w:val="00C33706"/>
    <w:rsid w:val="00C55AEE"/>
    <w:rsid w:val="00C66640"/>
    <w:rsid w:val="00C74326"/>
    <w:rsid w:val="00C77776"/>
    <w:rsid w:val="00C93B74"/>
    <w:rsid w:val="00CB2D5B"/>
    <w:rsid w:val="00CB77E2"/>
    <w:rsid w:val="00CD496A"/>
    <w:rsid w:val="00D15029"/>
    <w:rsid w:val="00D21DA2"/>
    <w:rsid w:val="00D30216"/>
    <w:rsid w:val="00D506EE"/>
    <w:rsid w:val="00DB1A05"/>
    <w:rsid w:val="00DC16DF"/>
    <w:rsid w:val="00DC45BA"/>
    <w:rsid w:val="00DC5630"/>
    <w:rsid w:val="00DD1351"/>
    <w:rsid w:val="00DD275C"/>
    <w:rsid w:val="00DD3B97"/>
    <w:rsid w:val="00DE63F2"/>
    <w:rsid w:val="00E07BE4"/>
    <w:rsid w:val="00E13A0A"/>
    <w:rsid w:val="00E15627"/>
    <w:rsid w:val="00E22EE4"/>
    <w:rsid w:val="00E42EE6"/>
    <w:rsid w:val="00E80389"/>
    <w:rsid w:val="00E877D9"/>
    <w:rsid w:val="00E97562"/>
    <w:rsid w:val="00ED2F38"/>
    <w:rsid w:val="00F2431A"/>
    <w:rsid w:val="00F3516F"/>
    <w:rsid w:val="00F55A3E"/>
    <w:rsid w:val="00F57DCA"/>
    <w:rsid w:val="00F80AD5"/>
    <w:rsid w:val="00F960BD"/>
    <w:rsid w:val="00F96D91"/>
    <w:rsid w:val="00FA6F6D"/>
    <w:rsid w:val="00FB4051"/>
    <w:rsid w:val="00FE0B03"/>
    <w:rsid w:val="00FE1D64"/>
    <w:rsid w:val="00FF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67E2"/>
  <w15:chartTrackingRefBased/>
  <w15:docId w15:val="{43C5EE49-F0A4-4181-800B-37DA0380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74"/>
    <w:rPr>
      <w:rFonts w:ascii="Segoe UI" w:hAnsi="Segoe UI" w:cs="Segoe UI"/>
      <w:sz w:val="18"/>
      <w:szCs w:val="18"/>
    </w:rPr>
  </w:style>
  <w:style w:type="character" w:styleId="CommentReference">
    <w:name w:val="annotation reference"/>
    <w:basedOn w:val="DefaultParagraphFont"/>
    <w:uiPriority w:val="99"/>
    <w:semiHidden/>
    <w:unhideWhenUsed/>
    <w:rsid w:val="00444297"/>
    <w:rPr>
      <w:sz w:val="16"/>
      <w:szCs w:val="16"/>
    </w:rPr>
  </w:style>
  <w:style w:type="paragraph" w:styleId="CommentText">
    <w:name w:val="annotation text"/>
    <w:basedOn w:val="Normal"/>
    <w:link w:val="CommentTextChar"/>
    <w:uiPriority w:val="99"/>
    <w:semiHidden/>
    <w:unhideWhenUsed/>
    <w:rsid w:val="00444297"/>
    <w:pPr>
      <w:spacing w:line="240" w:lineRule="auto"/>
    </w:pPr>
    <w:rPr>
      <w:sz w:val="20"/>
      <w:szCs w:val="20"/>
    </w:rPr>
  </w:style>
  <w:style w:type="character" w:customStyle="1" w:styleId="CommentTextChar">
    <w:name w:val="Comment Text Char"/>
    <w:basedOn w:val="DefaultParagraphFont"/>
    <w:link w:val="CommentText"/>
    <w:uiPriority w:val="99"/>
    <w:semiHidden/>
    <w:rsid w:val="00444297"/>
    <w:rPr>
      <w:sz w:val="20"/>
      <w:szCs w:val="20"/>
    </w:rPr>
  </w:style>
  <w:style w:type="paragraph" w:styleId="CommentSubject">
    <w:name w:val="annotation subject"/>
    <w:basedOn w:val="CommentText"/>
    <w:next w:val="CommentText"/>
    <w:link w:val="CommentSubjectChar"/>
    <w:uiPriority w:val="99"/>
    <w:semiHidden/>
    <w:unhideWhenUsed/>
    <w:rsid w:val="00444297"/>
    <w:rPr>
      <w:b/>
      <w:bCs/>
    </w:rPr>
  </w:style>
  <w:style w:type="character" w:customStyle="1" w:styleId="CommentSubjectChar">
    <w:name w:val="Comment Subject Char"/>
    <w:basedOn w:val="CommentTextChar"/>
    <w:link w:val="CommentSubject"/>
    <w:uiPriority w:val="99"/>
    <w:semiHidden/>
    <w:rsid w:val="00444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C2EF-F9BA-401F-B193-5C1DE85D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Millette</dc:creator>
  <cp:keywords/>
  <dc:description/>
  <cp:lastModifiedBy>Dana Caro</cp:lastModifiedBy>
  <cp:revision>2</cp:revision>
  <dcterms:created xsi:type="dcterms:W3CDTF">2019-01-04T21:07:00Z</dcterms:created>
  <dcterms:modified xsi:type="dcterms:W3CDTF">2019-01-04T21:07:00Z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6f7e6275-4371-4a6f-b2fc-7ada5882671d</vt:lpwstr>
  </property>
</Properties>
</file>