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D9" w:rsidRPr="00A6734F" w:rsidRDefault="00E877D9" w:rsidP="00E17FD8">
      <w:pPr>
        <w:spacing w:after="0" w:line="240" w:lineRule="auto"/>
        <w:rPr>
          <w:b/>
          <w:color w:val="6600CC"/>
          <w:sz w:val="28"/>
          <w:szCs w:val="28"/>
        </w:rPr>
      </w:pPr>
      <w:r w:rsidRPr="00A6734F">
        <w:rPr>
          <w:b/>
          <w:color w:val="6600CC"/>
          <w:sz w:val="28"/>
          <w:szCs w:val="28"/>
        </w:rPr>
        <w:t>Market Update for the Month Ending November 30, 2018</w:t>
      </w:r>
    </w:p>
    <w:p w:rsidR="00E877D9" w:rsidRPr="00A6734F" w:rsidRDefault="00E877D9" w:rsidP="00E17FD8">
      <w:pPr>
        <w:spacing w:after="0" w:line="240" w:lineRule="auto"/>
        <w:rPr>
          <w:i/>
          <w:sz w:val="24"/>
          <w:szCs w:val="24"/>
        </w:rPr>
      </w:pPr>
      <w:r w:rsidRPr="00A6734F">
        <w:rPr>
          <w:i/>
          <w:sz w:val="24"/>
          <w:szCs w:val="24"/>
        </w:rPr>
        <w:t xml:space="preserve">Presented by </w:t>
      </w:r>
      <w:r w:rsidR="001F1C3F" w:rsidRPr="00A6734F">
        <w:rPr>
          <w:i/>
          <w:sz w:val="24"/>
          <w:szCs w:val="24"/>
        </w:rPr>
        <w:t>Marianna Goldenberg</w:t>
      </w:r>
    </w:p>
    <w:p w:rsidR="00E877D9" w:rsidRPr="00A6734F" w:rsidRDefault="00E877D9" w:rsidP="00E17FD8">
      <w:pPr>
        <w:spacing w:after="0" w:line="240" w:lineRule="auto"/>
        <w:rPr>
          <w:b/>
          <w:sz w:val="24"/>
          <w:szCs w:val="24"/>
        </w:rPr>
      </w:pPr>
    </w:p>
    <w:p w:rsidR="00BD6A6A" w:rsidRPr="009A10CA" w:rsidRDefault="003C04B4" w:rsidP="00E17FD8">
      <w:pPr>
        <w:spacing w:after="0" w:line="240" w:lineRule="auto"/>
        <w:rPr>
          <w:b/>
          <w:color w:val="419B03"/>
          <w:sz w:val="24"/>
          <w:szCs w:val="24"/>
        </w:rPr>
      </w:pPr>
      <w:r w:rsidRPr="009A10CA">
        <w:rPr>
          <w:b/>
          <w:color w:val="419B03"/>
          <w:sz w:val="24"/>
          <w:szCs w:val="24"/>
        </w:rPr>
        <w:t>Markets ride a roller coaster</w:t>
      </w:r>
    </w:p>
    <w:p w:rsidR="008749E7" w:rsidRPr="00A6734F" w:rsidRDefault="008749E7" w:rsidP="00E17FD8">
      <w:pPr>
        <w:spacing w:after="0" w:line="240" w:lineRule="auto"/>
        <w:rPr>
          <w:sz w:val="24"/>
          <w:szCs w:val="24"/>
        </w:rPr>
      </w:pPr>
      <w:r w:rsidRPr="00A6734F">
        <w:rPr>
          <w:sz w:val="24"/>
          <w:szCs w:val="24"/>
        </w:rPr>
        <w:t xml:space="preserve">After a tough October, November looked to be more of the same. </w:t>
      </w:r>
      <w:r w:rsidR="00BF694D" w:rsidRPr="00A6734F">
        <w:rPr>
          <w:sz w:val="24"/>
          <w:szCs w:val="24"/>
        </w:rPr>
        <w:t>Indeed, m</w:t>
      </w:r>
      <w:r w:rsidRPr="00A6734F">
        <w:rPr>
          <w:sz w:val="24"/>
          <w:szCs w:val="24"/>
        </w:rPr>
        <w:t xml:space="preserve">arkets dropped further down into correction territory at midmonth. But they rebounded and closed higher </w:t>
      </w:r>
      <w:r w:rsidR="00AC770F" w:rsidRPr="00A6734F">
        <w:rPr>
          <w:sz w:val="24"/>
          <w:szCs w:val="24"/>
        </w:rPr>
        <w:t>by month-end</w:t>
      </w:r>
      <w:r w:rsidRPr="00A6734F">
        <w:rPr>
          <w:sz w:val="24"/>
          <w:szCs w:val="24"/>
        </w:rPr>
        <w:t xml:space="preserve">. The S&amp;P 500 and Dow Jones Industrial Average rose by 2.04 percent and 2.11 percent, respectively, while the Nasdaq </w:t>
      </w:r>
      <w:r w:rsidR="00580337" w:rsidRPr="00A6734F">
        <w:rPr>
          <w:sz w:val="24"/>
          <w:szCs w:val="24"/>
        </w:rPr>
        <w:t xml:space="preserve">Composite </w:t>
      </w:r>
      <w:r w:rsidRPr="00A6734F">
        <w:rPr>
          <w:sz w:val="24"/>
          <w:szCs w:val="24"/>
        </w:rPr>
        <w:t>gained 0.49 percent.</w:t>
      </w:r>
    </w:p>
    <w:p w:rsidR="006654ED" w:rsidRPr="00A6734F" w:rsidRDefault="006654ED" w:rsidP="00E17FD8">
      <w:pPr>
        <w:spacing w:after="0" w:line="240" w:lineRule="auto"/>
        <w:rPr>
          <w:rFonts w:cs="Times New Roman"/>
          <w:b/>
          <w:sz w:val="24"/>
          <w:szCs w:val="24"/>
        </w:rPr>
      </w:pPr>
    </w:p>
    <w:p w:rsidR="00277207" w:rsidRPr="00A6734F" w:rsidRDefault="008A0656" w:rsidP="00E17FD8">
      <w:pPr>
        <w:spacing w:after="0" w:line="240" w:lineRule="auto"/>
        <w:rPr>
          <w:rFonts w:cs="Times New Roman"/>
          <w:sz w:val="24"/>
          <w:szCs w:val="24"/>
        </w:rPr>
      </w:pPr>
      <w:r w:rsidRPr="00A6734F">
        <w:rPr>
          <w:rFonts w:cs="Times New Roman"/>
          <w:sz w:val="24"/>
          <w:szCs w:val="24"/>
        </w:rPr>
        <w:t>Strong fundamentals for U.S. companies drove t</w:t>
      </w:r>
      <w:r w:rsidR="00B67B4B" w:rsidRPr="00A6734F">
        <w:rPr>
          <w:rFonts w:cs="Times New Roman"/>
          <w:sz w:val="24"/>
          <w:szCs w:val="24"/>
        </w:rPr>
        <w:t>h</w:t>
      </w:r>
      <w:r w:rsidR="006231FB" w:rsidRPr="00A6734F">
        <w:rPr>
          <w:rFonts w:cs="Times New Roman"/>
          <w:sz w:val="24"/>
          <w:szCs w:val="24"/>
        </w:rPr>
        <w:t>is</w:t>
      </w:r>
      <w:r w:rsidR="00B67B4B" w:rsidRPr="00A6734F">
        <w:rPr>
          <w:rFonts w:cs="Times New Roman"/>
          <w:sz w:val="24"/>
          <w:szCs w:val="24"/>
        </w:rPr>
        <w:t xml:space="preserve"> rebound</w:t>
      </w:r>
      <w:r w:rsidR="00AA0ED2" w:rsidRPr="00A6734F">
        <w:rPr>
          <w:rFonts w:cs="Times New Roman"/>
          <w:sz w:val="24"/>
          <w:szCs w:val="24"/>
        </w:rPr>
        <w:t xml:space="preserve">. </w:t>
      </w:r>
      <w:r w:rsidR="00A32845" w:rsidRPr="00A6734F">
        <w:rPr>
          <w:rFonts w:cs="Times New Roman"/>
          <w:sz w:val="24"/>
          <w:szCs w:val="24"/>
        </w:rPr>
        <w:t>According to</w:t>
      </w:r>
      <w:r w:rsidR="00AA0ED2" w:rsidRPr="00A6734F">
        <w:rPr>
          <w:rFonts w:cs="Times New Roman"/>
          <w:sz w:val="24"/>
          <w:szCs w:val="24"/>
        </w:rPr>
        <w:t xml:space="preserve"> FactSet</w:t>
      </w:r>
      <w:r w:rsidR="00765433" w:rsidRPr="00A6734F">
        <w:rPr>
          <w:rFonts w:cs="Times New Roman"/>
          <w:sz w:val="24"/>
          <w:szCs w:val="24"/>
        </w:rPr>
        <w:t>,</w:t>
      </w:r>
      <w:r w:rsidR="00A32845" w:rsidRPr="00A6734F">
        <w:rPr>
          <w:rFonts w:cs="Times New Roman"/>
          <w:sz w:val="24"/>
          <w:szCs w:val="24"/>
        </w:rPr>
        <w:t xml:space="preserve"> </w:t>
      </w:r>
      <w:r w:rsidR="00AA0ED2" w:rsidRPr="00A6734F">
        <w:rPr>
          <w:rFonts w:cs="Times New Roman"/>
          <w:sz w:val="24"/>
          <w:szCs w:val="24"/>
        </w:rPr>
        <w:t xml:space="preserve">with 96 percent of the companies in the </w:t>
      </w:r>
      <w:r w:rsidR="00DD688E" w:rsidRPr="00A6734F">
        <w:rPr>
          <w:rFonts w:cs="Times New Roman"/>
          <w:sz w:val="24"/>
          <w:szCs w:val="24"/>
        </w:rPr>
        <w:t>S&amp;P 500</w:t>
      </w:r>
      <w:r w:rsidR="00AA0ED2" w:rsidRPr="00A6734F">
        <w:rPr>
          <w:rFonts w:cs="Times New Roman"/>
          <w:sz w:val="24"/>
          <w:szCs w:val="24"/>
        </w:rPr>
        <w:t xml:space="preserve"> reporting</w:t>
      </w:r>
      <w:r w:rsidRPr="00A6734F">
        <w:rPr>
          <w:rFonts w:cs="Times New Roman"/>
          <w:sz w:val="24"/>
          <w:szCs w:val="24"/>
        </w:rPr>
        <w:t xml:space="preserve"> (as of November 23, 2018)</w:t>
      </w:r>
      <w:r w:rsidR="00AA0ED2" w:rsidRPr="00A6734F">
        <w:rPr>
          <w:rFonts w:cs="Times New Roman"/>
          <w:sz w:val="24"/>
          <w:szCs w:val="24"/>
        </w:rPr>
        <w:t xml:space="preserve">, the blended earnings growth rate was 25.9 percent. This </w:t>
      </w:r>
      <w:r w:rsidRPr="00A6734F">
        <w:rPr>
          <w:rFonts w:cs="Times New Roman"/>
          <w:sz w:val="24"/>
          <w:szCs w:val="24"/>
        </w:rPr>
        <w:t xml:space="preserve">result </w:t>
      </w:r>
      <w:r w:rsidR="00305DFE" w:rsidRPr="00A6734F">
        <w:rPr>
          <w:rFonts w:cs="Times New Roman"/>
          <w:sz w:val="24"/>
          <w:szCs w:val="24"/>
        </w:rPr>
        <w:t>would be</w:t>
      </w:r>
      <w:r w:rsidR="00DD688E" w:rsidRPr="00A6734F">
        <w:rPr>
          <w:rFonts w:cs="Times New Roman"/>
          <w:sz w:val="24"/>
          <w:szCs w:val="24"/>
        </w:rPr>
        <w:t xml:space="preserve"> an improvement</w:t>
      </w:r>
      <w:r w:rsidR="00AA0ED2" w:rsidRPr="00A6734F">
        <w:rPr>
          <w:rFonts w:cs="Times New Roman"/>
          <w:sz w:val="24"/>
          <w:szCs w:val="24"/>
        </w:rPr>
        <w:t xml:space="preserve"> from </w:t>
      </w:r>
      <w:r w:rsidRPr="00A6734F">
        <w:rPr>
          <w:rFonts w:cs="Times New Roman"/>
          <w:sz w:val="24"/>
          <w:szCs w:val="24"/>
        </w:rPr>
        <w:t xml:space="preserve">an </w:t>
      </w:r>
      <w:r w:rsidR="00AA0ED2" w:rsidRPr="00A6734F">
        <w:rPr>
          <w:rFonts w:cs="Times New Roman"/>
          <w:sz w:val="24"/>
          <w:szCs w:val="24"/>
        </w:rPr>
        <w:t xml:space="preserve">estimate of 19.3 percent at the </w:t>
      </w:r>
      <w:r w:rsidR="00DD688E" w:rsidRPr="00A6734F">
        <w:rPr>
          <w:rFonts w:cs="Times New Roman"/>
          <w:sz w:val="24"/>
          <w:szCs w:val="24"/>
        </w:rPr>
        <w:t>beginning</w:t>
      </w:r>
      <w:r w:rsidR="00AA0ED2" w:rsidRPr="00A6734F">
        <w:rPr>
          <w:rFonts w:cs="Times New Roman"/>
          <w:sz w:val="24"/>
          <w:szCs w:val="24"/>
        </w:rPr>
        <w:t xml:space="preserve"> of the quarter and would represent the highest quarterly growth rate in </w:t>
      </w:r>
      <w:r w:rsidR="00A32845" w:rsidRPr="00A6734F">
        <w:rPr>
          <w:rFonts w:cs="Times New Roman"/>
          <w:sz w:val="24"/>
          <w:szCs w:val="24"/>
        </w:rPr>
        <w:t>eight</w:t>
      </w:r>
      <w:r w:rsidR="00AA0ED2" w:rsidRPr="00A6734F">
        <w:rPr>
          <w:rFonts w:cs="Times New Roman"/>
          <w:sz w:val="24"/>
          <w:szCs w:val="24"/>
        </w:rPr>
        <w:t xml:space="preserve"> years.</w:t>
      </w:r>
    </w:p>
    <w:p w:rsidR="00AA0ED2" w:rsidRPr="00A6734F" w:rsidRDefault="00AA0ED2" w:rsidP="00E17FD8">
      <w:pPr>
        <w:spacing w:after="0" w:line="240" w:lineRule="auto"/>
        <w:rPr>
          <w:rFonts w:cs="Times New Roman"/>
          <w:sz w:val="24"/>
          <w:szCs w:val="24"/>
        </w:rPr>
      </w:pPr>
    </w:p>
    <w:p w:rsidR="00DD13A1" w:rsidRPr="009A10CA" w:rsidRDefault="00DD13A1" w:rsidP="00E17FD8">
      <w:pPr>
        <w:spacing w:after="0" w:line="240" w:lineRule="auto"/>
        <w:rPr>
          <w:rFonts w:cs="Times New Roman"/>
          <w:b/>
          <w:color w:val="419B03"/>
          <w:sz w:val="24"/>
          <w:szCs w:val="24"/>
        </w:rPr>
      </w:pPr>
      <w:r w:rsidRPr="009A10CA">
        <w:rPr>
          <w:rFonts w:cs="Times New Roman"/>
          <w:b/>
          <w:color w:val="419B03"/>
          <w:sz w:val="24"/>
          <w:szCs w:val="24"/>
        </w:rPr>
        <w:t>So, what’s the problem?</w:t>
      </w:r>
    </w:p>
    <w:p w:rsidR="00AA0ED2" w:rsidRPr="00A6734F" w:rsidRDefault="00975390" w:rsidP="00E17FD8">
      <w:pPr>
        <w:spacing w:after="0" w:line="240" w:lineRule="auto"/>
        <w:rPr>
          <w:rFonts w:cs="Times New Roman"/>
          <w:sz w:val="24"/>
          <w:szCs w:val="24"/>
        </w:rPr>
      </w:pPr>
      <w:r w:rsidRPr="00A6734F">
        <w:rPr>
          <w:rFonts w:cs="Times New Roman"/>
          <w:sz w:val="24"/>
          <w:szCs w:val="24"/>
        </w:rPr>
        <w:t>T</w:t>
      </w:r>
      <w:r w:rsidR="00B67B4B" w:rsidRPr="00A6734F">
        <w:rPr>
          <w:rFonts w:cs="Times New Roman"/>
          <w:sz w:val="24"/>
          <w:szCs w:val="24"/>
        </w:rPr>
        <w:t xml:space="preserve">he problem was confidence, which took a hit in October and early November. That </w:t>
      </w:r>
      <w:r w:rsidRPr="00A6734F">
        <w:rPr>
          <w:rFonts w:cs="Times New Roman"/>
          <w:sz w:val="24"/>
          <w:szCs w:val="24"/>
        </w:rPr>
        <w:t>weakness</w:t>
      </w:r>
      <w:r w:rsidR="00B67B4B" w:rsidRPr="00A6734F">
        <w:rPr>
          <w:rFonts w:cs="Times New Roman"/>
          <w:sz w:val="24"/>
          <w:szCs w:val="24"/>
        </w:rPr>
        <w:t xml:space="preserve"> was </w:t>
      </w:r>
      <w:r w:rsidRPr="00A6734F">
        <w:rPr>
          <w:rFonts w:cs="Times New Roman"/>
          <w:sz w:val="24"/>
          <w:szCs w:val="24"/>
        </w:rPr>
        <w:t>evident</w:t>
      </w:r>
      <w:r w:rsidR="00B67B4B" w:rsidRPr="00A6734F">
        <w:rPr>
          <w:rFonts w:cs="Times New Roman"/>
          <w:sz w:val="24"/>
          <w:szCs w:val="24"/>
        </w:rPr>
        <w:t xml:space="preserve"> in the t</w:t>
      </w:r>
      <w:r w:rsidR="000C5525" w:rsidRPr="00A6734F">
        <w:rPr>
          <w:rFonts w:cs="Times New Roman"/>
          <w:sz w:val="24"/>
          <w:szCs w:val="24"/>
        </w:rPr>
        <w:t>echnical factors</w:t>
      </w:r>
      <w:r w:rsidRPr="00A6734F">
        <w:rPr>
          <w:rFonts w:cs="Times New Roman"/>
          <w:sz w:val="24"/>
          <w:szCs w:val="24"/>
        </w:rPr>
        <w:t>.</w:t>
      </w:r>
      <w:r w:rsidR="00B67B4B" w:rsidRPr="00A6734F">
        <w:rPr>
          <w:rFonts w:cs="Times New Roman"/>
          <w:sz w:val="24"/>
          <w:szCs w:val="24"/>
        </w:rPr>
        <w:t xml:space="preserve"> </w:t>
      </w:r>
      <w:r w:rsidRPr="00A6734F">
        <w:rPr>
          <w:rFonts w:cs="Times New Roman"/>
          <w:sz w:val="24"/>
          <w:szCs w:val="24"/>
        </w:rPr>
        <w:t>A</w:t>
      </w:r>
      <w:r w:rsidR="00B67B4B" w:rsidRPr="00A6734F">
        <w:rPr>
          <w:rFonts w:cs="Times New Roman"/>
          <w:sz w:val="24"/>
          <w:szCs w:val="24"/>
        </w:rPr>
        <w:t>ll three indices spen</w:t>
      </w:r>
      <w:r w:rsidRPr="00A6734F">
        <w:rPr>
          <w:rFonts w:cs="Times New Roman"/>
          <w:sz w:val="24"/>
          <w:szCs w:val="24"/>
        </w:rPr>
        <w:t>t</w:t>
      </w:r>
      <w:r w:rsidR="00B67B4B" w:rsidRPr="00A6734F">
        <w:rPr>
          <w:rFonts w:cs="Times New Roman"/>
          <w:sz w:val="24"/>
          <w:szCs w:val="24"/>
        </w:rPr>
        <w:t xml:space="preserve"> most of the month below</w:t>
      </w:r>
      <w:r w:rsidR="00AA0ED2" w:rsidRPr="00A6734F">
        <w:rPr>
          <w:rFonts w:cs="Times New Roman"/>
          <w:sz w:val="24"/>
          <w:szCs w:val="24"/>
        </w:rPr>
        <w:t xml:space="preserve"> their 200</w:t>
      </w:r>
      <w:r w:rsidR="002449B7" w:rsidRPr="00A6734F">
        <w:rPr>
          <w:rFonts w:cs="Times New Roman"/>
          <w:sz w:val="24"/>
          <w:szCs w:val="24"/>
        </w:rPr>
        <w:t>-</w:t>
      </w:r>
      <w:r w:rsidR="00AA0ED2" w:rsidRPr="00A6734F">
        <w:rPr>
          <w:rFonts w:cs="Times New Roman"/>
          <w:sz w:val="24"/>
          <w:szCs w:val="24"/>
        </w:rPr>
        <w:t>day moving averages</w:t>
      </w:r>
      <w:r w:rsidR="00B67B4B" w:rsidRPr="00A6734F">
        <w:rPr>
          <w:rFonts w:cs="Times New Roman"/>
          <w:sz w:val="24"/>
          <w:szCs w:val="24"/>
        </w:rPr>
        <w:t xml:space="preserve">. </w:t>
      </w:r>
      <w:r w:rsidRPr="00A6734F">
        <w:rPr>
          <w:rFonts w:cs="Times New Roman"/>
          <w:sz w:val="24"/>
          <w:szCs w:val="24"/>
        </w:rPr>
        <w:t xml:space="preserve">But </w:t>
      </w:r>
      <w:r w:rsidR="00B67B4B" w:rsidRPr="00A6734F">
        <w:rPr>
          <w:rFonts w:cs="Times New Roman"/>
          <w:sz w:val="24"/>
          <w:szCs w:val="24"/>
        </w:rPr>
        <w:t>recovery above that trend</w:t>
      </w:r>
      <w:r w:rsidRPr="00A6734F">
        <w:rPr>
          <w:rFonts w:cs="Times New Roman"/>
          <w:sz w:val="24"/>
          <w:szCs w:val="24"/>
        </w:rPr>
        <w:t xml:space="preserve"> </w:t>
      </w:r>
      <w:r w:rsidR="00B67B4B" w:rsidRPr="00A6734F">
        <w:rPr>
          <w:rFonts w:cs="Times New Roman"/>
          <w:sz w:val="24"/>
          <w:szCs w:val="24"/>
        </w:rPr>
        <w:t>line at month</w:t>
      </w:r>
      <w:r w:rsidR="002449B7" w:rsidRPr="00A6734F">
        <w:rPr>
          <w:rFonts w:cs="Times New Roman"/>
          <w:sz w:val="24"/>
          <w:szCs w:val="24"/>
        </w:rPr>
        <w:t>-</w:t>
      </w:r>
      <w:r w:rsidR="00B67B4B" w:rsidRPr="00A6734F">
        <w:rPr>
          <w:rFonts w:cs="Times New Roman"/>
          <w:sz w:val="24"/>
          <w:szCs w:val="24"/>
        </w:rPr>
        <w:t>end may reflect returning confidence and be a positive signal going forward.</w:t>
      </w:r>
    </w:p>
    <w:p w:rsidR="00AA0ED2" w:rsidRPr="00A6734F" w:rsidRDefault="00AA0ED2" w:rsidP="00E17FD8">
      <w:pPr>
        <w:spacing w:after="0" w:line="240" w:lineRule="auto"/>
        <w:rPr>
          <w:rFonts w:cs="Times New Roman"/>
          <w:sz w:val="24"/>
          <w:szCs w:val="24"/>
        </w:rPr>
      </w:pPr>
    </w:p>
    <w:p w:rsidR="00277207" w:rsidRPr="00A6734F" w:rsidRDefault="003F2BEF" w:rsidP="00E17FD8">
      <w:pPr>
        <w:spacing w:after="0" w:line="240" w:lineRule="auto"/>
        <w:rPr>
          <w:rFonts w:cs="Times New Roman"/>
          <w:sz w:val="24"/>
          <w:szCs w:val="24"/>
        </w:rPr>
      </w:pPr>
      <w:r w:rsidRPr="00A6734F">
        <w:rPr>
          <w:rFonts w:cs="Times New Roman"/>
          <w:sz w:val="24"/>
          <w:szCs w:val="24"/>
        </w:rPr>
        <w:t>The i</w:t>
      </w:r>
      <w:r w:rsidR="0010014F" w:rsidRPr="00A6734F">
        <w:rPr>
          <w:rFonts w:cs="Times New Roman"/>
          <w:sz w:val="24"/>
          <w:szCs w:val="24"/>
        </w:rPr>
        <w:t>nternational</w:t>
      </w:r>
      <w:r w:rsidR="00AA0ED2" w:rsidRPr="00A6734F">
        <w:rPr>
          <w:rFonts w:cs="Times New Roman"/>
          <w:sz w:val="24"/>
          <w:szCs w:val="24"/>
        </w:rPr>
        <w:t xml:space="preserve"> story was much the same. Developed markets, represented by the MSCI EAFE </w:t>
      </w:r>
      <w:r w:rsidRPr="00A6734F">
        <w:rPr>
          <w:rFonts w:cs="Times New Roman"/>
          <w:sz w:val="24"/>
          <w:szCs w:val="24"/>
        </w:rPr>
        <w:t>I</w:t>
      </w:r>
      <w:r w:rsidR="00AA0ED2" w:rsidRPr="00A6734F">
        <w:rPr>
          <w:rFonts w:cs="Times New Roman"/>
          <w:sz w:val="24"/>
          <w:szCs w:val="24"/>
        </w:rPr>
        <w:t>ndex</w:t>
      </w:r>
      <w:r w:rsidR="00B67B4B" w:rsidRPr="00A6734F">
        <w:rPr>
          <w:rFonts w:cs="Times New Roman"/>
          <w:sz w:val="24"/>
          <w:szCs w:val="24"/>
        </w:rPr>
        <w:t>,</w:t>
      </w:r>
      <w:r w:rsidR="00AA0ED2" w:rsidRPr="00A6734F">
        <w:rPr>
          <w:rFonts w:cs="Times New Roman"/>
          <w:sz w:val="24"/>
          <w:szCs w:val="24"/>
        </w:rPr>
        <w:t xml:space="preserve"> fell</w:t>
      </w:r>
      <w:r w:rsidR="00B67B4B" w:rsidRPr="00A6734F">
        <w:rPr>
          <w:rFonts w:cs="Times New Roman"/>
          <w:sz w:val="24"/>
          <w:szCs w:val="24"/>
        </w:rPr>
        <w:t xml:space="preserve"> during the month</w:t>
      </w:r>
      <w:r w:rsidR="00574684" w:rsidRPr="00A6734F">
        <w:rPr>
          <w:rFonts w:cs="Times New Roman"/>
          <w:sz w:val="24"/>
          <w:szCs w:val="24"/>
        </w:rPr>
        <w:t xml:space="preserve">. </w:t>
      </w:r>
      <w:r w:rsidR="00A66AF0" w:rsidRPr="00A6734F">
        <w:rPr>
          <w:rFonts w:cs="Times New Roman"/>
          <w:sz w:val="24"/>
          <w:szCs w:val="24"/>
        </w:rPr>
        <w:t>Still, t</w:t>
      </w:r>
      <w:r w:rsidR="00574684" w:rsidRPr="00A6734F">
        <w:rPr>
          <w:rFonts w:cs="Times New Roman"/>
          <w:sz w:val="24"/>
          <w:szCs w:val="24"/>
        </w:rPr>
        <w:t xml:space="preserve">hey </w:t>
      </w:r>
      <w:r w:rsidR="00356F3C" w:rsidRPr="00A6734F">
        <w:rPr>
          <w:rFonts w:cs="Times New Roman"/>
          <w:sz w:val="24"/>
          <w:szCs w:val="24"/>
        </w:rPr>
        <w:t>finish</w:t>
      </w:r>
      <w:r w:rsidR="00574684" w:rsidRPr="00A6734F">
        <w:rPr>
          <w:rFonts w:cs="Times New Roman"/>
          <w:sz w:val="24"/>
          <w:szCs w:val="24"/>
        </w:rPr>
        <w:t>ed</w:t>
      </w:r>
      <w:r w:rsidR="00B67B4B" w:rsidRPr="00A6734F">
        <w:rPr>
          <w:rFonts w:cs="Times New Roman"/>
          <w:sz w:val="24"/>
          <w:szCs w:val="24"/>
        </w:rPr>
        <w:t xml:space="preserve"> close to even, down</w:t>
      </w:r>
      <w:r w:rsidR="00AA0ED2" w:rsidRPr="00A6734F">
        <w:rPr>
          <w:rFonts w:cs="Times New Roman"/>
          <w:sz w:val="24"/>
          <w:szCs w:val="24"/>
        </w:rPr>
        <w:t xml:space="preserve"> by </w:t>
      </w:r>
      <w:r w:rsidR="00356F3C" w:rsidRPr="00A6734F">
        <w:rPr>
          <w:rFonts w:cs="Times New Roman"/>
          <w:sz w:val="24"/>
          <w:szCs w:val="24"/>
        </w:rPr>
        <w:t>0.13</w:t>
      </w:r>
      <w:r w:rsidR="00AA0ED2" w:rsidRPr="00A6734F">
        <w:rPr>
          <w:rFonts w:cs="Times New Roman"/>
          <w:sz w:val="24"/>
          <w:szCs w:val="24"/>
        </w:rPr>
        <w:t xml:space="preserve"> percent</w:t>
      </w:r>
      <w:r w:rsidR="00B67B4B" w:rsidRPr="00A6734F">
        <w:rPr>
          <w:rFonts w:cs="Times New Roman"/>
          <w:sz w:val="24"/>
          <w:szCs w:val="24"/>
        </w:rPr>
        <w:t>. Emer</w:t>
      </w:r>
      <w:r w:rsidR="00AA0ED2" w:rsidRPr="00A6734F">
        <w:rPr>
          <w:rFonts w:cs="Times New Roman"/>
          <w:sz w:val="24"/>
          <w:szCs w:val="24"/>
        </w:rPr>
        <w:t xml:space="preserve">ging markets </w:t>
      </w:r>
      <w:r w:rsidR="00B67B4B" w:rsidRPr="00A6734F">
        <w:rPr>
          <w:rFonts w:cs="Times New Roman"/>
          <w:sz w:val="24"/>
          <w:szCs w:val="24"/>
        </w:rPr>
        <w:t>did better, with</w:t>
      </w:r>
      <w:r w:rsidR="00AA0ED2" w:rsidRPr="00A6734F">
        <w:rPr>
          <w:rFonts w:cs="Times New Roman"/>
          <w:sz w:val="24"/>
          <w:szCs w:val="24"/>
        </w:rPr>
        <w:t xml:space="preserve"> a gain of </w:t>
      </w:r>
      <w:r w:rsidR="00356F3C" w:rsidRPr="00A6734F">
        <w:rPr>
          <w:rFonts w:cs="Times New Roman"/>
          <w:sz w:val="24"/>
          <w:szCs w:val="24"/>
        </w:rPr>
        <w:t>4.13</w:t>
      </w:r>
      <w:r w:rsidR="00AA0ED2" w:rsidRPr="00A6734F">
        <w:rPr>
          <w:rFonts w:cs="Times New Roman"/>
          <w:sz w:val="24"/>
          <w:szCs w:val="24"/>
        </w:rPr>
        <w:t xml:space="preserve"> percent. Both indices </w:t>
      </w:r>
      <w:r w:rsidR="00A3730C" w:rsidRPr="00A6734F">
        <w:rPr>
          <w:rFonts w:cs="Times New Roman"/>
          <w:sz w:val="24"/>
          <w:szCs w:val="24"/>
        </w:rPr>
        <w:t>are</w:t>
      </w:r>
      <w:r w:rsidR="00AA0ED2" w:rsidRPr="00A6734F">
        <w:rPr>
          <w:rFonts w:cs="Times New Roman"/>
          <w:sz w:val="24"/>
          <w:szCs w:val="24"/>
        </w:rPr>
        <w:t xml:space="preserve"> well below their 200</w:t>
      </w:r>
      <w:r w:rsidR="00BC253F" w:rsidRPr="00A6734F">
        <w:rPr>
          <w:rFonts w:cs="Times New Roman"/>
          <w:sz w:val="24"/>
          <w:szCs w:val="24"/>
        </w:rPr>
        <w:t>-</w:t>
      </w:r>
      <w:r w:rsidR="00AA0ED2" w:rsidRPr="00A6734F">
        <w:rPr>
          <w:rFonts w:cs="Times New Roman"/>
          <w:sz w:val="24"/>
          <w:szCs w:val="24"/>
        </w:rPr>
        <w:t xml:space="preserve">day moving averages, where they have </w:t>
      </w:r>
      <w:r w:rsidR="00A66AF0" w:rsidRPr="00A6734F">
        <w:rPr>
          <w:rFonts w:cs="Times New Roman"/>
          <w:sz w:val="24"/>
          <w:szCs w:val="24"/>
        </w:rPr>
        <w:t>been</w:t>
      </w:r>
      <w:r w:rsidR="00AA0ED2" w:rsidRPr="00A6734F">
        <w:rPr>
          <w:rFonts w:cs="Times New Roman"/>
          <w:sz w:val="24"/>
          <w:szCs w:val="24"/>
        </w:rPr>
        <w:t xml:space="preserve"> since the summer. </w:t>
      </w:r>
    </w:p>
    <w:p w:rsidR="00AA0ED2" w:rsidRPr="00A6734F" w:rsidRDefault="00AA0ED2" w:rsidP="00E17FD8">
      <w:pPr>
        <w:spacing w:after="0" w:line="240" w:lineRule="auto"/>
        <w:rPr>
          <w:rFonts w:cs="Times New Roman"/>
          <w:sz w:val="24"/>
          <w:szCs w:val="24"/>
        </w:rPr>
      </w:pPr>
    </w:p>
    <w:p w:rsidR="000C5525" w:rsidRPr="00A6734F" w:rsidRDefault="000C5525" w:rsidP="00E17FD8">
      <w:pPr>
        <w:spacing w:after="0" w:line="240" w:lineRule="auto"/>
        <w:rPr>
          <w:rFonts w:cs="Times New Roman"/>
          <w:sz w:val="24"/>
          <w:szCs w:val="24"/>
        </w:rPr>
      </w:pPr>
      <w:r w:rsidRPr="00A6734F">
        <w:rPr>
          <w:rFonts w:cs="Times New Roman"/>
          <w:sz w:val="24"/>
          <w:szCs w:val="24"/>
        </w:rPr>
        <w:t>Investment</w:t>
      </w:r>
      <w:r w:rsidR="00AD0A9E" w:rsidRPr="00A6734F">
        <w:rPr>
          <w:rFonts w:cs="Times New Roman"/>
          <w:sz w:val="24"/>
          <w:szCs w:val="24"/>
        </w:rPr>
        <w:t>-</w:t>
      </w:r>
      <w:r w:rsidRPr="00A6734F">
        <w:rPr>
          <w:rFonts w:cs="Times New Roman"/>
          <w:sz w:val="24"/>
          <w:szCs w:val="24"/>
        </w:rPr>
        <w:t>grade f</w:t>
      </w:r>
      <w:r w:rsidR="00AA0ED2" w:rsidRPr="00A6734F">
        <w:rPr>
          <w:rFonts w:cs="Times New Roman"/>
          <w:sz w:val="24"/>
          <w:szCs w:val="24"/>
        </w:rPr>
        <w:t xml:space="preserve">ixed income was the big winner for the month, as </w:t>
      </w:r>
      <w:r w:rsidR="0010014F" w:rsidRPr="00A6734F">
        <w:rPr>
          <w:rFonts w:cs="Times New Roman"/>
          <w:sz w:val="24"/>
          <w:szCs w:val="24"/>
        </w:rPr>
        <w:t>rates declined during November</w:t>
      </w:r>
      <w:r w:rsidRPr="00A6734F">
        <w:rPr>
          <w:rFonts w:cs="Times New Roman"/>
          <w:sz w:val="24"/>
          <w:szCs w:val="24"/>
        </w:rPr>
        <w:t>’s turbulence</w:t>
      </w:r>
      <w:r w:rsidR="0010014F" w:rsidRPr="00A6734F">
        <w:rPr>
          <w:rFonts w:cs="Times New Roman"/>
          <w:sz w:val="24"/>
          <w:szCs w:val="24"/>
        </w:rPr>
        <w:t>.</w:t>
      </w:r>
      <w:r w:rsidR="00356F3C" w:rsidRPr="00A6734F">
        <w:rPr>
          <w:rFonts w:cs="Times New Roman"/>
          <w:sz w:val="24"/>
          <w:szCs w:val="24"/>
        </w:rPr>
        <w:t xml:space="preserve"> The 10</w:t>
      </w:r>
      <w:r w:rsidR="00AD0A9E" w:rsidRPr="00A6734F">
        <w:rPr>
          <w:rFonts w:cs="Times New Roman"/>
          <w:sz w:val="24"/>
          <w:szCs w:val="24"/>
        </w:rPr>
        <w:t>-</w:t>
      </w:r>
      <w:r w:rsidR="00356F3C" w:rsidRPr="00A6734F">
        <w:rPr>
          <w:rFonts w:cs="Times New Roman"/>
          <w:sz w:val="24"/>
          <w:szCs w:val="24"/>
        </w:rPr>
        <w:t>year U.S. T</w:t>
      </w:r>
      <w:r w:rsidR="0010014F" w:rsidRPr="00A6734F">
        <w:rPr>
          <w:rFonts w:cs="Times New Roman"/>
          <w:sz w:val="24"/>
          <w:szCs w:val="24"/>
        </w:rPr>
        <w:t xml:space="preserve">reasury </w:t>
      </w:r>
      <w:r w:rsidR="00B924B9" w:rsidRPr="00A6734F">
        <w:rPr>
          <w:rFonts w:cs="Times New Roman"/>
          <w:sz w:val="24"/>
          <w:szCs w:val="24"/>
        </w:rPr>
        <w:t xml:space="preserve">yield </w:t>
      </w:r>
      <w:r w:rsidR="0010014F" w:rsidRPr="00A6734F">
        <w:rPr>
          <w:rFonts w:cs="Times New Roman"/>
          <w:sz w:val="24"/>
          <w:szCs w:val="24"/>
        </w:rPr>
        <w:t xml:space="preserve">rose </w:t>
      </w:r>
      <w:r w:rsidR="00A93917" w:rsidRPr="00A6734F">
        <w:rPr>
          <w:rFonts w:cs="Times New Roman"/>
          <w:sz w:val="24"/>
          <w:szCs w:val="24"/>
        </w:rPr>
        <w:t>to a</w:t>
      </w:r>
      <w:r w:rsidR="0010014F" w:rsidRPr="00A6734F">
        <w:rPr>
          <w:rFonts w:cs="Times New Roman"/>
          <w:sz w:val="24"/>
          <w:szCs w:val="24"/>
        </w:rPr>
        <w:t xml:space="preserve"> high </w:t>
      </w:r>
      <w:r w:rsidR="00A93917" w:rsidRPr="00A6734F">
        <w:rPr>
          <w:rFonts w:cs="Times New Roman"/>
          <w:sz w:val="24"/>
          <w:szCs w:val="24"/>
        </w:rPr>
        <w:t>of</w:t>
      </w:r>
      <w:r w:rsidR="0010014F" w:rsidRPr="00A6734F">
        <w:rPr>
          <w:rFonts w:cs="Times New Roman"/>
          <w:sz w:val="24"/>
          <w:szCs w:val="24"/>
        </w:rPr>
        <w:t xml:space="preserve"> 3.24 percent before falling to an even 3 percent by month</w:t>
      </w:r>
      <w:r w:rsidR="00AD0A9E" w:rsidRPr="00A6734F">
        <w:rPr>
          <w:rFonts w:cs="Times New Roman"/>
          <w:sz w:val="24"/>
          <w:szCs w:val="24"/>
        </w:rPr>
        <w:t>-</w:t>
      </w:r>
      <w:r w:rsidR="0010014F" w:rsidRPr="00A6734F">
        <w:rPr>
          <w:rFonts w:cs="Times New Roman"/>
          <w:sz w:val="24"/>
          <w:szCs w:val="24"/>
        </w:rPr>
        <w:t xml:space="preserve">end. This </w:t>
      </w:r>
      <w:r w:rsidR="00B2296C" w:rsidRPr="00A6734F">
        <w:rPr>
          <w:rFonts w:cs="Times New Roman"/>
          <w:sz w:val="24"/>
          <w:szCs w:val="24"/>
        </w:rPr>
        <w:t xml:space="preserve">increase </w:t>
      </w:r>
      <w:r w:rsidR="0010014F" w:rsidRPr="00A6734F">
        <w:rPr>
          <w:rFonts w:cs="Times New Roman"/>
          <w:sz w:val="24"/>
          <w:szCs w:val="24"/>
        </w:rPr>
        <w:t xml:space="preserve">caused the Bloomberg Barclays Aggregate </w:t>
      </w:r>
      <w:r w:rsidR="00AD0A9E" w:rsidRPr="00A6734F">
        <w:rPr>
          <w:rFonts w:cs="Times New Roman"/>
          <w:sz w:val="24"/>
          <w:szCs w:val="24"/>
        </w:rPr>
        <w:t>B</w:t>
      </w:r>
      <w:r w:rsidR="0010014F" w:rsidRPr="00A6734F">
        <w:rPr>
          <w:rFonts w:cs="Times New Roman"/>
          <w:sz w:val="24"/>
          <w:szCs w:val="24"/>
        </w:rPr>
        <w:t xml:space="preserve">ond </w:t>
      </w:r>
      <w:r w:rsidR="00AD0A9E" w:rsidRPr="00A6734F">
        <w:rPr>
          <w:rFonts w:cs="Times New Roman"/>
          <w:sz w:val="24"/>
          <w:szCs w:val="24"/>
        </w:rPr>
        <w:t>I</w:t>
      </w:r>
      <w:r w:rsidR="0010014F" w:rsidRPr="00A6734F">
        <w:rPr>
          <w:rFonts w:cs="Times New Roman"/>
          <w:sz w:val="24"/>
          <w:szCs w:val="24"/>
        </w:rPr>
        <w:t xml:space="preserve">ndex to gain </w:t>
      </w:r>
      <w:r w:rsidR="00356F3C" w:rsidRPr="00A6734F">
        <w:rPr>
          <w:rFonts w:cs="Times New Roman"/>
          <w:sz w:val="24"/>
          <w:szCs w:val="24"/>
        </w:rPr>
        <w:t>0.60</w:t>
      </w:r>
      <w:r w:rsidR="0010014F" w:rsidRPr="00A6734F">
        <w:rPr>
          <w:rFonts w:cs="Times New Roman"/>
          <w:sz w:val="24"/>
          <w:szCs w:val="24"/>
        </w:rPr>
        <w:t xml:space="preserve"> percent during the month. Th</w:t>
      </w:r>
      <w:r w:rsidR="001C7B81" w:rsidRPr="00A6734F">
        <w:rPr>
          <w:rFonts w:cs="Times New Roman"/>
          <w:sz w:val="24"/>
          <w:szCs w:val="24"/>
        </w:rPr>
        <w:t>e</w:t>
      </w:r>
      <w:r w:rsidR="0010014F" w:rsidRPr="00A6734F">
        <w:rPr>
          <w:rFonts w:cs="Times New Roman"/>
          <w:sz w:val="24"/>
          <w:szCs w:val="24"/>
        </w:rPr>
        <w:t xml:space="preserve"> high</w:t>
      </w:r>
      <w:r w:rsidR="00AD0A9E" w:rsidRPr="00A6734F">
        <w:rPr>
          <w:rFonts w:cs="Times New Roman"/>
          <w:sz w:val="24"/>
          <w:szCs w:val="24"/>
        </w:rPr>
        <w:t>-</w:t>
      </w:r>
      <w:r w:rsidR="0010014F" w:rsidRPr="00A6734F">
        <w:rPr>
          <w:rFonts w:cs="Times New Roman"/>
          <w:sz w:val="24"/>
          <w:szCs w:val="24"/>
        </w:rPr>
        <w:t>yield index, which typically moves in line with equities</w:t>
      </w:r>
      <w:r w:rsidR="00AD0A9E" w:rsidRPr="00A6734F">
        <w:rPr>
          <w:rFonts w:cs="Times New Roman"/>
          <w:sz w:val="24"/>
          <w:szCs w:val="24"/>
        </w:rPr>
        <w:t>,</w:t>
      </w:r>
      <w:r w:rsidR="0010014F" w:rsidRPr="00A6734F">
        <w:rPr>
          <w:rFonts w:cs="Times New Roman"/>
          <w:sz w:val="24"/>
          <w:szCs w:val="24"/>
        </w:rPr>
        <w:t xml:space="preserve"> fell by </w:t>
      </w:r>
      <w:r w:rsidR="00356F3C" w:rsidRPr="00A6734F">
        <w:rPr>
          <w:rFonts w:cs="Times New Roman"/>
          <w:sz w:val="24"/>
          <w:szCs w:val="24"/>
        </w:rPr>
        <w:t>0.86</w:t>
      </w:r>
      <w:r w:rsidR="0010014F" w:rsidRPr="00A6734F">
        <w:rPr>
          <w:rFonts w:cs="Times New Roman"/>
          <w:sz w:val="24"/>
          <w:szCs w:val="24"/>
        </w:rPr>
        <w:t xml:space="preserve"> percent </w:t>
      </w:r>
      <w:r w:rsidR="00356F3C" w:rsidRPr="00A6734F">
        <w:rPr>
          <w:rFonts w:cs="Times New Roman"/>
          <w:sz w:val="24"/>
          <w:szCs w:val="24"/>
        </w:rPr>
        <w:t>on rising concerns about debt</w:t>
      </w:r>
      <w:r w:rsidR="0010014F" w:rsidRPr="00A6734F">
        <w:rPr>
          <w:rFonts w:cs="Times New Roman"/>
          <w:sz w:val="24"/>
          <w:szCs w:val="24"/>
        </w:rPr>
        <w:t>.</w:t>
      </w:r>
    </w:p>
    <w:p w:rsidR="00CB2D5B" w:rsidRPr="00A6734F" w:rsidRDefault="00CB2D5B" w:rsidP="00E17FD8">
      <w:pPr>
        <w:spacing w:after="0" w:line="240" w:lineRule="auto"/>
        <w:rPr>
          <w:rFonts w:cs="Times New Roman"/>
          <w:sz w:val="24"/>
          <w:szCs w:val="24"/>
        </w:rPr>
      </w:pPr>
    </w:p>
    <w:p w:rsidR="00CB2D5B" w:rsidRPr="009A10CA" w:rsidRDefault="00CB2D5B" w:rsidP="00E17FD8">
      <w:pPr>
        <w:spacing w:after="0" w:line="240" w:lineRule="auto"/>
        <w:rPr>
          <w:rFonts w:cs="Times New Roman"/>
          <w:b/>
          <w:color w:val="419B03"/>
          <w:sz w:val="24"/>
          <w:szCs w:val="24"/>
        </w:rPr>
      </w:pPr>
      <w:r w:rsidRPr="009A10CA">
        <w:rPr>
          <w:rFonts w:cs="Times New Roman"/>
          <w:b/>
          <w:color w:val="419B03"/>
          <w:sz w:val="24"/>
          <w:szCs w:val="24"/>
        </w:rPr>
        <w:t>Housing sector disappoints</w:t>
      </w:r>
    </w:p>
    <w:p w:rsidR="00CB2D5B" w:rsidRPr="00A6734F" w:rsidRDefault="00CB2D5B" w:rsidP="00E17FD8">
      <w:pPr>
        <w:spacing w:after="0" w:line="240" w:lineRule="auto"/>
        <w:rPr>
          <w:rFonts w:cs="Times New Roman"/>
          <w:sz w:val="24"/>
          <w:szCs w:val="24"/>
        </w:rPr>
      </w:pPr>
      <w:r w:rsidRPr="00A6734F">
        <w:rPr>
          <w:rFonts w:cs="Times New Roman"/>
          <w:sz w:val="24"/>
          <w:szCs w:val="24"/>
        </w:rPr>
        <w:t xml:space="preserve">One of the factors that rattled confidence was the housing sector, which has been in a rut for most of 2018. </w:t>
      </w:r>
      <w:r w:rsidR="0085203E" w:rsidRPr="00A6734F">
        <w:rPr>
          <w:rFonts w:cs="Times New Roman"/>
          <w:sz w:val="24"/>
          <w:szCs w:val="24"/>
        </w:rPr>
        <w:t>Low</w:t>
      </w:r>
      <w:r w:rsidRPr="00A6734F">
        <w:rPr>
          <w:rFonts w:cs="Times New Roman"/>
          <w:sz w:val="24"/>
          <w:szCs w:val="24"/>
        </w:rPr>
        <w:t xml:space="preserve"> supply, rising mortgage rates, and increasing prices have slowed sales dramatically. New home sales</w:t>
      </w:r>
      <w:r w:rsidR="00607AA4" w:rsidRPr="00A6734F">
        <w:rPr>
          <w:rFonts w:cs="Times New Roman"/>
          <w:sz w:val="24"/>
          <w:szCs w:val="24"/>
        </w:rPr>
        <w:t>—</w:t>
      </w:r>
      <w:r w:rsidRPr="00A6734F">
        <w:rPr>
          <w:rFonts w:cs="Times New Roman"/>
          <w:sz w:val="24"/>
          <w:szCs w:val="24"/>
        </w:rPr>
        <w:t>expected to rise by 4 percent in October following a disappointing September</w:t>
      </w:r>
      <w:r w:rsidR="00607AA4" w:rsidRPr="00A6734F">
        <w:rPr>
          <w:rFonts w:cs="Times New Roman"/>
          <w:sz w:val="24"/>
          <w:szCs w:val="24"/>
        </w:rPr>
        <w:t>—</w:t>
      </w:r>
      <w:r w:rsidRPr="00A6734F">
        <w:rPr>
          <w:rFonts w:cs="Times New Roman"/>
          <w:sz w:val="24"/>
          <w:szCs w:val="24"/>
        </w:rPr>
        <w:t xml:space="preserve">instead fell by 8.9 percent. All in, new home sales are down </w:t>
      </w:r>
      <w:r w:rsidR="00907C81" w:rsidRPr="00A6734F">
        <w:rPr>
          <w:rFonts w:cs="Times New Roman"/>
          <w:sz w:val="24"/>
          <w:szCs w:val="24"/>
        </w:rPr>
        <w:t>more than</w:t>
      </w:r>
      <w:r w:rsidRPr="00A6734F">
        <w:rPr>
          <w:rFonts w:cs="Times New Roman"/>
          <w:sz w:val="24"/>
          <w:szCs w:val="24"/>
        </w:rPr>
        <w:t xml:space="preserve"> 23 percent from highs seen last November. </w:t>
      </w:r>
    </w:p>
    <w:p w:rsidR="00CB2D5B" w:rsidRPr="00A6734F" w:rsidRDefault="00CB2D5B" w:rsidP="00E17FD8">
      <w:pPr>
        <w:spacing w:after="0" w:line="240" w:lineRule="auto"/>
        <w:rPr>
          <w:rFonts w:cs="Times New Roman"/>
          <w:b/>
          <w:sz w:val="24"/>
          <w:szCs w:val="24"/>
        </w:rPr>
      </w:pPr>
    </w:p>
    <w:p w:rsidR="00CB2D5B" w:rsidRPr="00A6734F" w:rsidRDefault="00CB2D5B" w:rsidP="00E17FD8">
      <w:pPr>
        <w:spacing w:after="0" w:line="240" w:lineRule="auto"/>
        <w:rPr>
          <w:rFonts w:cs="Times New Roman"/>
          <w:sz w:val="24"/>
          <w:szCs w:val="24"/>
        </w:rPr>
      </w:pPr>
      <w:r w:rsidRPr="00A6734F">
        <w:rPr>
          <w:rFonts w:cs="Times New Roman"/>
          <w:sz w:val="24"/>
          <w:szCs w:val="24"/>
        </w:rPr>
        <w:t xml:space="preserve">One of the only bright spots </w:t>
      </w:r>
      <w:r w:rsidR="00AC630C" w:rsidRPr="00A6734F">
        <w:rPr>
          <w:rFonts w:cs="Times New Roman"/>
          <w:sz w:val="24"/>
          <w:szCs w:val="24"/>
        </w:rPr>
        <w:t>in the face of slowing sales</w:t>
      </w:r>
      <w:r w:rsidRPr="00A6734F">
        <w:rPr>
          <w:rFonts w:cs="Times New Roman"/>
          <w:sz w:val="24"/>
          <w:szCs w:val="24"/>
        </w:rPr>
        <w:t xml:space="preserve"> has been the high confidence levels for home</w:t>
      </w:r>
      <w:r w:rsidR="00AC630C" w:rsidRPr="00A6734F">
        <w:rPr>
          <w:rFonts w:cs="Times New Roman"/>
          <w:sz w:val="24"/>
          <w:szCs w:val="24"/>
        </w:rPr>
        <w:t xml:space="preserve"> </w:t>
      </w:r>
      <w:r w:rsidRPr="00A6734F">
        <w:rPr>
          <w:rFonts w:cs="Times New Roman"/>
          <w:sz w:val="24"/>
          <w:szCs w:val="24"/>
        </w:rPr>
        <w:t>builders. Unfortunately, home</w:t>
      </w:r>
      <w:r w:rsidR="00AC630C" w:rsidRPr="00A6734F">
        <w:rPr>
          <w:rFonts w:cs="Times New Roman"/>
          <w:sz w:val="24"/>
          <w:szCs w:val="24"/>
        </w:rPr>
        <w:t xml:space="preserve"> </w:t>
      </w:r>
      <w:r w:rsidRPr="00A6734F">
        <w:rPr>
          <w:rFonts w:cs="Times New Roman"/>
          <w:sz w:val="24"/>
          <w:szCs w:val="24"/>
        </w:rPr>
        <w:t>builder confidence f</w:t>
      </w:r>
      <w:r w:rsidR="00D4472A" w:rsidRPr="00A6734F">
        <w:rPr>
          <w:rFonts w:cs="Times New Roman"/>
          <w:sz w:val="24"/>
          <w:szCs w:val="24"/>
        </w:rPr>
        <w:t>ell</w:t>
      </w:r>
      <w:r w:rsidRPr="00A6734F">
        <w:rPr>
          <w:rFonts w:cs="Times New Roman"/>
          <w:sz w:val="24"/>
          <w:szCs w:val="24"/>
        </w:rPr>
        <w:t xml:space="preserve"> from 68 to 60</w:t>
      </w:r>
      <w:r w:rsidR="00D4472A" w:rsidRPr="00A6734F">
        <w:rPr>
          <w:rFonts w:cs="Times New Roman"/>
          <w:sz w:val="24"/>
          <w:szCs w:val="24"/>
        </w:rPr>
        <w:t xml:space="preserve"> in November</w:t>
      </w:r>
      <w:r w:rsidRPr="00A6734F">
        <w:rPr>
          <w:rFonts w:cs="Times New Roman"/>
          <w:sz w:val="24"/>
          <w:szCs w:val="24"/>
        </w:rPr>
        <w:t xml:space="preserve">. For context, </w:t>
      </w:r>
      <w:r w:rsidR="00D4472A" w:rsidRPr="00A6734F">
        <w:rPr>
          <w:rFonts w:cs="Times New Roman"/>
          <w:sz w:val="24"/>
          <w:szCs w:val="24"/>
        </w:rPr>
        <w:t xml:space="preserve">home builder confidence has </w:t>
      </w:r>
      <w:r w:rsidR="003719D7" w:rsidRPr="00A6734F">
        <w:rPr>
          <w:rFonts w:cs="Times New Roman"/>
          <w:sz w:val="24"/>
          <w:szCs w:val="24"/>
        </w:rPr>
        <w:t xml:space="preserve">not </w:t>
      </w:r>
      <w:r w:rsidR="00D4472A" w:rsidRPr="00A6734F">
        <w:rPr>
          <w:rFonts w:cs="Times New Roman"/>
          <w:sz w:val="24"/>
          <w:szCs w:val="24"/>
        </w:rPr>
        <w:t>been this low since 2016. In fact, w</w:t>
      </w:r>
      <w:r w:rsidRPr="00A6734F">
        <w:rPr>
          <w:rFonts w:cs="Times New Roman"/>
          <w:sz w:val="24"/>
          <w:szCs w:val="24"/>
        </w:rPr>
        <w:t>e spent most of the year in the 68</w:t>
      </w:r>
      <w:r w:rsidR="005D5DFD" w:rsidRPr="00A6734F">
        <w:rPr>
          <w:rFonts w:cs="Times New Roman"/>
          <w:sz w:val="24"/>
          <w:szCs w:val="24"/>
        </w:rPr>
        <w:t>–</w:t>
      </w:r>
      <w:r w:rsidRPr="00A6734F">
        <w:rPr>
          <w:rFonts w:cs="Times New Roman"/>
          <w:sz w:val="24"/>
          <w:szCs w:val="24"/>
        </w:rPr>
        <w:t xml:space="preserve">70 range. </w:t>
      </w:r>
      <w:r w:rsidR="00D4472A" w:rsidRPr="00A6734F">
        <w:rPr>
          <w:rFonts w:cs="Times New Roman"/>
          <w:sz w:val="24"/>
          <w:szCs w:val="24"/>
        </w:rPr>
        <w:t>But t</w:t>
      </w:r>
      <w:r w:rsidRPr="00A6734F">
        <w:rPr>
          <w:rFonts w:cs="Times New Roman"/>
          <w:sz w:val="24"/>
          <w:szCs w:val="24"/>
        </w:rPr>
        <w:t xml:space="preserve">his </w:t>
      </w:r>
      <w:r w:rsidR="00D4472A" w:rsidRPr="00A6734F">
        <w:rPr>
          <w:rFonts w:cs="Times New Roman"/>
          <w:sz w:val="24"/>
          <w:szCs w:val="24"/>
        </w:rPr>
        <w:t>decline</w:t>
      </w:r>
      <w:r w:rsidR="00AC630C" w:rsidRPr="00A6734F">
        <w:rPr>
          <w:rFonts w:cs="Times New Roman"/>
          <w:sz w:val="24"/>
          <w:szCs w:val="24"/>
        </w:rPr>
        <w:t>,</w:t>
      </w:r>
      <w:r w:rsidRPr="00A6734F">
        <w:rPr>
          <w:rFonts w:cs="Times New Roman"/>
          <w:sz w:val="24"/>
          <w:szCs w:val="24"/>
        </w:rPr>
        <w:t xml:space="preserve"> combined with the large drop</w:t>
      </w:r>
      <w:r w:rsidR="00AC630C" w:rsidRPr="00A6734F">
        <w:rPr>
          <w:rFonts w:cs="Times New Roman"/>
          <w:sz w:val="24"/>
          <w:szCs w:val="24"/>
        </w:rPr>
        <w:t>-</w:t>
      </w:r>
      <w:r w:rsidRPr="00A6734F">
        <w:rPr>
          <w:rFonts w:cs="Times New Roman"/>
          <w:sz w:val="24"/>
          <w:szCs w:val="24"/>
        </w:rPr>
        <w:t>off in new home sales</w:t>
      </w:r>
      <w:r w:rsidR="00AC630C" w:rsidRPr="00A6734F">
        <w:rPr>
          <w:rFonts w:cs="Times New Roman"/>
          <w:sz w:val="24"/>
          <w:szCs w:val="24"/>
        </w:rPr>
        <w:t>,</w:t>
      </w:r>
      <w:r w:rsidRPr="00A6734F">
        <w:rPr>
          <w:rFonts w:cs="Times New Roman"/>
          <w:sz w:val="24"/>
          <w:szCs w:val="24"/>
        </w:rPr>
        <w:t xml:space="preserve"> indicates that the </w:t>
      </w:r>
      <w:r w:rsidR="00D4472A" w:rsidRPr="00A6734F">
        <w:rPr>
          <w:rFonts w:cs="Times New Roman"/>
          <w:sz w:val="24"/>
          <w:szCs w:val="24"/>
        </w:rPr>
        <w:t xml:space="preserve">housing </w:t>
      </w:r>
      <w:r w:rsidRPr="00A6734F">
        <w:rPr>
          <w:rFonts w:cs="Times New Roman"/>
          <w:sz w:val="24"/>
          <w:szCs w:val="24"/>
        </w:rPr>
        <w:t xml:space="preserve">slowdown may be here to stay for some time. </w:t>
      </w:r>
    </w:p>
    <w:p w:rsidR="007645B4" w:rsidRPr="00A6734F" w:rsidRDefault="007645B4" w:rsidP="00E17FD8">
      <w:pPr>
        <w:spacing w:after="0" w:line="240" w:lineRule="auto"/>
        <w:rPr>
          <w:rFonts w:cs="Times New Roman"/>
          <w:b/>
          <w:sz w:val="24"/>
          <w:szCs w:val="24"/>
        </w:rPr>
      </w:pPr>
    </w:p>
    <w:p w:rsidR="00E877D9" w:rsidRPr="009A10CA" w:rsidRDefault="00B67B4B" w:rsidP="007645B4">
      <w:pPr>
        <w:keepNext/>
        <w:spacing w:after="0" w:line="240" w:lineRule="auto"/>
        <w:rPr>
          <w:rFonts w:cs="Times New Roman"/>
          <w:b/>
          <w:color w:val="419B03"/>
          <w:sz w:val="24"/>
          <w:szCs w:val="24"/>
        </w:rPr>
      </w:pPr>
      <w:r w:rsidRPr="009A10CA">
        <w:rPr>
          <w:rFonts w:cs="Times New Roman"/>
          <w:b/>
          <w:color w:val="419B03"/>
          <w:sz w:val="24"/>
          <w:szCs w:val="24"/>
        </w:rPr>
        <w:t>Economy slowing</w:t>
      </w:r>
      <w:r w:rsidR="00356F3C" w:rsidRPr="009A10CA">
        <w:rPr>
          <w:rFonts w:cs="Times New Roman"/>
          <w:b/>
          <w:color w:val="419B03"/>
          <w:sz w:val="24"/>
          <w:szCs w:val="24"/>
        </w:rPr>
        <w:t xml:space="preserve"> but </w:t>
      </w:r>
      <w:r w:rsidRPr="009A10CA">
        <w:rPr>
          <w:rFonts w:cs="Times New Roman"/>
          <w:b/>
          <w:color w:val="419B03"/>
          <w:sz w:val="24"/>
          <w:szCs w:val="24"/>
        </w:rPr>
        <w:t>still growing</w:t>
      </w:r>
    </w:p>
    <w:p w:rsidR="00E877D9" w:rsidRPr="00A6734F" w:rsidRDefault="00CB2D5B" w:rsidP="00E17FD8">
      <w:pPr>
        <w:spacing w:after="0" w:line="240" w:lineRule="auto"/>
        <w:rPr>
          <w:rFonts w:cs="Times New Roman"/>
          <w:sz w:val="24"/>
          <w:szCs w:val="24"/>
        </w:rPr>
      </w:pPr>
      <w:r w:rsidRPr="00A6734F">
        <w:rPr>
          <w:rFonts w:cs="Times New Roman"/>
          <w:sz w:val="24"/>
          <w:szCs w:val="24"/>
        </w:rPr>
        <w:t xml:space="preserve">Despite the housing </w:t>
      </w:r>
      <w:r w:rsidR="00134E9D" w:rsidRPr="00A6734F">
        <w:rPr>
          <w:rFonts w:cs="Times New Roman"/>
          <w:sz w:val="24"/>
          <w:szCs w:val="24"/>
        </w:rPr>
        <w:t>worries</w:t>
      </w:r>
      <w:r w:rsidRPr="00A6734F">
        <w:rPr>
          <w:rFonts w:cs="Times New Roman"/>
          <w:sz w:val="24"/>
          <w:szCs w:val="24"/>
        </w:rPr>
        <w:t>, t</w:t>
      </w:r>
      <w:r w:rsidR="00E877D9" w:rsidRPr="00A6734F">
        <w:rPr>
          <w:rFonts w:cs="Times New Roman"/>
          <w:sz w:val="24"/>
          <w:szCs w:val="24"/>
        </w:rPr>
        <w:t xml:space="preserve">he economic updates released in November were </w:t>
      </w:r>
      <w:r w:rsidRPr="00A6734F">
        <w:rPr>
          <w:rFonts w:cs="Times New Roman"/>
          <w:sz w:val="24"/>
          <w:szCs w:val="24"/>
        </w:rPr>
        <w:t xml:space="preserve">positive. </w:t>
      </w:r>
      <w:r w:rsidR="00E877D9" w:rsidRPr="00A6734F">
        <w:rPr>
          <w:rFonts w:cs="Times New Roman"/>
          <w:sz w:val="24"/>
          <w:szCs w:val="24"/>
        </w:rPr>
        <w:t xml:space="preserve">A slowdown in September’s spending data was largely offset in October, as </w:t>
      </w:r>
      <w:r w:rsidR="001451DD" w:rsidRPr="00A6734F">
        <w:rPr>
          <w:rFonts w:cs="Times New Roman"/>
          <w:sz w:val="24"/>
          <w:szCs w:val="24"/>
        </w:rPr>
        <w:t>effects</w:t>
      </w:r>
      <w:r w:rsidR="00E877D9" w:rsidRPr="00A6734F">
        <w:rPr>
          <w:rFonts w:cs="Times New Roman"/>
          <w:sz w:val="24"/>
          <w:szCs w:val="24"/>
        </w:rPr>
        <w:t xml:space="preserve"> from </w:t>
      </w:r>
      <w:r w:rsidR="00056F34" w:rsidRPr="00A6734F">
        <w:rPr>
          <w:rFonts w:cs="Times New Roman"/>
          <w:sz w:val="24"/>
          <w:szCs w:val="24"/>
        </w:rPr>
        <w:t>H</w:t>
      </w:r>
      <w:r w:rsidR="00E877D9" w:rsidRPr="00A6734F">
        <w:rPr>
          <w:rFonts w:cs="Times New Roman"/>
          <w:sz w:val="24"/>
          <w:szCs w:val="24"/>
        </w:rPr>
        <w:t xml:space="preserve">urricane Florence started to unwind. </w:t>
      </w:r>
      <w:r w:rsidR="00AC4B28" w:rsidRPr="00A6734F">
        <w:rPr>
          <w:rFonts w:cs="Times New Roman"/>
          <w:sz w:val="24"/>
          <w:szCs w:val="24"/>
        </w:rPr>
        <w:t xml:space="preserve">Plus, </w:t>
      </w:r>
      <w:r w:rsidR="00E877D9" w:rsidRPr="00A6734F">
        <w:rPr>
          <w:rFonts w:cs="Times New Roman"/>
          <w:sz w:val="24"/>
          <w:szCs w:val="24"/>
        </w:rPr>
        <w:t xml:space="preserve">October’s retail sales </w:t>
      </w:r>
      <w:r w:rsidR="000C5525" w:rsidRPr="00A6734F">
        <w:rPr>
          <w:rFonts w:cs="Times New Roman"/>
          <w:sz w:val="24"/>
          <w:szCs w:val="24"/>
        </w:rPr>
        <w:t xml:space="preserve">data </w:t>
      </w:r>
      <w:r w:rsidR="00E877D9" w:rsidRPr="00A6734F">
        <w:rPr>
          <w:rFonts w:cs="Times New Roman"/>
          <w:sz w:val="24"/>
          <w:szCs w:val="24"/>
        </w:rPr>
        <w:t>came in with a strong 0.8</w:t>
      </w:r>
      <w:r w:rsidR="00D636CF" w:rsidRPr="00A6734F">
        <w:rPr>
          <w:rFonts w:cs="Times New Roman"/>
          <w:sz w:val="24"/>
          <w:szCs w:val="24"/>
        </w:rPr>
        <w:t>-</w:t>
      </w:r>
      <w:r w:rsidR="00E877D9" w:rsidRPr="00A6734F">
        <w:rPr>
          <w:rFonts w:cs="Times New Roman"/>
          <w:sz w:val="24"/>
          <w:szCs w:val="24"/>
        </w:rPr>
        <w:t>percent monthly gain, following 0.1</w:t>
      </w:r>
      <w:r w:rsidR="00D636CF" w:rsidRPr="00A6734F">
        <w:rPr>
          <w:rFonts w:cs="Times New Roman"/>
          <w:sz w:val="24"/>
          <w:szCs w:val="24"/>
        </w:rPr>
        <w:t>-</w:t>
      </w:r>
      <w:r w:rsidR="00E877D9" w:rsidRPr="00A6734F">
        <w:rPr>
          <w:rFonts w:cs="Times New Roman"/>
          <w:sz w:val="24"/>
          <w:szCs w:val="24"/>
        </w:rPr>
        <w:t>percent growth in September. This rebound help</w:t>
      </w:r>
      <w:r w:rsidR="009D4463" w:rsidRPr="00A6734F">
        <w:rPr>
          <w:rFonts w:cs="Times New Roman"/>
          <w:sz w:val="24"/>
          <w:szCs w:val="24"/>
        </w:rPr>
        <w:t>ed</w:t>
      </w:r>
      <w:r w:rsidR="00E877D9" w:rsidRPr="00A6734F">
        <w:rPr>
          <w:rFonts w:cs="Times New Roman"/>
          <w:sz w:val="24"/>
          <w:szCs w:val="24"/>
        </w:rPr>
        <w:t xml:space="preserve"> to calm fears about a broader slowdown in spending.</w:t>
      </w:r>
    </w:p>
    <w:p w:rsidR="00E877D9" w:rsidRPr="00A6734F" w:rsidRDefault="00E877D9" w:rsidP="00E17FD8">
      <w:pPr>
        <w:spacing w:after="0" w:line="240" w:lineRule="auto"/>
        <w:rPr>
          <w:rFonts w:cs="Times New Roman"/>
          <w:sz w:val="24"/>
          <w:szCs w:val="24"/>
        </w:rPr>
      </w:pPr>
    </w:p>
    <w:p w:rsidR="00C046A2" w:rsidRPr="00A6734F" w:rsidRDefault="009036EF" w:rsidP="00E17FD8">
      <w:pPr>
        <w:spacing w:after="0" w:line="240" w:lineRule="auto"/>
        <w:rPr>
          <w:rFonts w:cs="Times New Roman"/>
          <w:sz w:val="24"/>
          <w:szCs w:val="24"/>
        </w:rPr>
      </w:pPr>
      <w:r w:rsidRPr="00A6734F">
        <w:rPr>
          <w:rFonts w:cs="Times New Roman"/>
          <w:sz w:val="24"/>
          <w:szCs w:val="24"/>
        </w:rPr>
        <w:t xml:space="preserve">Gains in personal income and spending data from October echoed the </w:t>
      </w:r>
      <w:r w:rsidR="000C5525" w:rsidRPr="00A6734F">
        <w:rPr>
          <w:rFonts w:cs="Times New Roman"/>
          <w:sz w:val="24"/>
          <w:szCs w:val="24"/>
        </w:rPr>
        <w:t>growth in retail sales</w:t>
      </w:r>
      <w:r w:rsidR="00C046A2" w:rsidRPr="00A6734F">
        <w:rPr>
          <w:rFonts w:cs="Times New Roman"/>
          <w:sz w:val="24"/>
          <w:szCs w:val="24"/>
        </w:rPr>
        <w:t>. Spending rose by 0.6 percent</w:t>
      </w:r>
      <w:r w:rsidR="00D636CF" w:rsidRPr="00A6734F">
        <w:rPr>
          <w:rFonts w:cs="Times New Roman"/>
          <w:sz w:val="24"/>
          <w:szCs w:val="24"/>
        </w:rPr>
        <w:t>,</w:t>
      </w:r>
      <w:r w:rsidR="00C046A2" w:rsidRPr="00A6734F">
        <w:rPr>
          <w:rFonts w:cs="Times New Roman"/>
          <w:sz w:val="24"/>
          <w:szCs w:val="24"/>
        </w:rPr>
        <w:t xml:space="preserve"> while income rose by 0.5 percent. </w:t>
      </w:r>
      <w:r w:rsidR="00995E5C" w:rsidRPr="00A6734F">
        <w:rPr>
          <w:rFonts w:cs="Times New Roman"/>
          <w:sz w:val="24"/>
          <w:szCs w:val="24"/>
        </w:rPr>
        <w:t>T</w:t>
      </w:r>
      <w:r w:rsidR="00C046A2" w:rsidRPr="00A6734F">
        <w:rPr>
          <w:rFonts w:cs="Times New Roman"/>
          <w:sz w:val="24"/>
          <w:szCs w:val="24"/>
        </w:rPr>
        <w:t xml:space="preserve">hese results </w:t>
      </w:r>
      <w:r w:rsidR="00995E5C" w:rsidRPr="00A6734F">
        <w:rPr>
          <w:rFonts w:cs="Times New Roman"/>
          <w:sz w:val="24"/>
          <w:szCs w:val="24"/>
        </w:rPr>
        <w:t>beat</w:t>
      </w:r>
      <w:r w:rsidR="00C046A2" w:rsidRPr="00A6734F">
        <w:rPr>
          <w:rFonts w:cs="Times New Roman"/>
          <w:sz w:val="24"/>
          <w:szCs w:val="24"/>
        </w:rPr>
        <w:t xml:space="preserve"> expectations </w:t>
      </w:r>
      <w:r w:rsidR="00995E5C" w:rsidRPr="00A6734F">
        <w:rPr>
          <w:rFonts w:cs="Times New Roman"/>
          <w:sz w:val="24"/>
          <w:szCs w:val="24"/>
        </w:rPr>
        <w:t>and suggested that September’s</w:t>
      </w:r>
      <w:r w:rsidR="00C046A2" w:rsidRPr="00A6734F">
        <w:rPr>
          <w:rFonts w:cs="Times New Roman"/>
          <w:sz w:val="24"/>
          <w:szCs w:val="24"/>
        </w:rPr>
        <w:t xml:space="preserve"> slowdown was not permanent. The </w:t>
      </w:r>
      <w:r w:rsidR="00995E5C" w:rsidRPr="00A6734F">
        <w:rPr>
          <w:rFonts w:cs="Times New Roman"/>
          <w:sz w:val="24"/>
          <w:szCs w:val="24"/>
        </w:rPr>
        <w:t xml:space="preserve">growth in </w:t>
      </w:r>
      <w:r w:rsidR="00C046A2" w:rsidRPr="00A6734F">
        <w:rPr>
          <w:rFonts w:cs="Times New Roman"/>
          <w:sz w:val="24"/>
          <w:szCs w:val="24"/>
        </w:rPr>
        <w:t>income was especially encouraging given the slowdown in wage growth we saw in September.</w:t>
      </w:r>
    </w:p>
    <w:p w:rsidR="00C046A2" w:rsidRPr="00A6734F" w:rsidRDefault="00C046A2" w:rsidP="00E17FD8">
      <w:pPr>
        <w:spacing w:after="0" w:line="240" w:lineRule="auto"/>
        <w:rPr>
          <w:rFonts w:cs="Times New Roman"/>
          <w:sz w:val="24"/>
          <w:szCs w:val="24"/>
        </w:rPr>
      </w:pPr>
    </w:p>
    <w:p w:rsidR="00FE0B03" w:rsidRPr="00A6734F" w:rsidRDefault="00BD6292" w:rsidP="00E17FD8">
      <w:pPr>
        <w:spacing w:after="0" w:line="240" w:lineRule="auto"/>
        <w:rPr>
          <w:rFonts w:cs="Times New Roman"/>
          <w:sz w:val="24"/>
          <w:szCs w:val="24"/>
        </w:rPr>
      </w:pPr>
      <w:r w:rsidRPr="00A6734F">
        <w:rPr>
          <w:rFonts w:cs="Times New Roman"/>
          <w:sz w:val="24"/>
          <w:szCs w:val="24"/>
        </w:rPr>
        <w:t>But t</w:t>
      </w:r>
      <w:r w:rsidR="00CB2D5B" w:rsidRPr="00A6734F">
        <w:rPr>
          <w:rFonts w:cs="Times New Roman"/>
          <w:sz w:val="24"/>
          <w:szCs w:val="24"/>
        </w:rPr>
        <w:t xml:space="preserve">he news was not all positive. </w:t>
      </w:r>
      <w:r w:rsidR="000930CA" w:rsidRPr="00A6734F">
        <w:rPr>
          <w:rFonts w:cs="Times New Roman"/>
          <w:sz w:val="24"/>
          <w:szCs w:val="24"/>
        </w:rPr>
        <w:t>Although</w:t>
      </w:r>
      <w:r w:rsidR="00C046A2" w:rsidRPr="00A6734F">
        <w:rPr>
          <w:rFonts w:cs="Times New Roman"/>
          <w:sz w:val="24"/>
          <w:szCs w:val="24"/>
        </w:rPr>
        <w:t xml:space="preserve"> consumers were willing to spend their </w:t>
      </w:r>
      <w:r w:rsidR="00074287" w:rsidRPr="00A6734F">
        <w:rPr>
          <w:rFonts w:cs="Times New Roman"/>
          <w:sz w:val="24"/>
          <w:szCs w:val="24"/>
        </w:rPr>
        <w:t>extra</w:t>
      </w:r>
      <w:r w:rsidR="00C046A2" w:rsidRPr="00A6734F">
        <w:rPr>
          <w:rFonts w:cs="Times New Roman"/>
          <w:sz w:val="24"/>
          <w:szCs w:val="24"/>
        </w:rPr>
        <w:t xml:space="preserve"> cash, businesses were not as quick to do so. Durable goods orders for October fell by 4.4 percent compared </w:t>
      </w:r>
      <w:r w:rsidR="000913AF" w:rsidRPr="00A6734F">
        <w:rPr>
          <w:rFonts w:cs="Times New Roman"/>
          <w:sz w:val="24"/>
          <w:szCs w:val="24"/>
        </w:rPr>
        <w:t>with</w:t>
      </w:r>
      <w:r w:rsidR="00C046A2" w:rsidRPr="00A6734F">
        <w:rPr>
          <w:rFonts w:cs="Times New Roman"/>
          <w:sz w:val="24"/>
          <w:szCs w:val="24"/>
        </w:rPr>
        <w:t xml:space="preserve"> September</w:t>
      </w:r>
      <w:r w:rsidR="009F6A41" w:rsidRPr="00A6734F">
        <w:rPr>
          <w:rFonts w:cs="Times New Roman"/>
          <w:sz w:val="24"/>
          <w:szCs w:val="24"/>
        </w:rPr>
        <w:t>. This drop</w:t>
      </w:r>
      <w:r w:rsidR="00C046A2" w:rsidRPr="00A6734F">
        <w:rPr>
          <w:rFonts w:cs="Times New Roman"/>
          <w:sz w:val="24"/>
          <w:szCs w:val="24"/>
        </w:rPr>
        <w:t xml:space="preserve"> was below expectations for a more modest decline of 2.6 percent.</w:t>
      </w:r>
      <w:r w:rsidR="00FE0B03" w:rsidRPr="00A6734F">
        <w:rPr>
          <w:rFonts w:cs="Times New Roman"/>
          <w:sz w:val="24"/>
          <w:szCs w:val="24"/>
        </w:rPr>
        <w:t xml:space="preserve"> As you can see in </w:t>
      </w:r>
      <w:r w:rsidR="000913AF" w:rsidRPr="00A6734F">
        <w:rPr>
          <w:rFonts w:cs="Times New Roman"/>
          <w:sz w:val="24"/>
          <w:szCs w:val="24"/>
        </w:rPr>
        <w:t>F</w:t>
      </w:r>
      <w:r w:rsidR="00FE0B03" w:rsidRPr="00A6734F">
        <w:rPr>
          <w:rFonts w:cs="Times New Roman"/>
          <w:sz w:val="24"/>
          <w:szCs w:val="24"/>
        </w:rPr>
        <w:t xml:space="preserve">igure 1, we have seen declines in the past two months that </w:t>
      </w:r>
      <w:r w:rsidR="000C5525" w:rsidRPr="00A6734F">
        <w:rPr>
          <w:rFonts w:cs="Times New Roman"/>
          <w:sz w:val="24"/>
          <w:szCs w:val="24"/>
        </w:rPr>
        <w:t>are worth watching</w:t>
      </w:r>
      <w:r w:rsidR="006F5AFE" w:rsidRPr="00A6734F">
        <w:rPr>
          <w:rFonts w:cs="Times New Roman"/>
          <w:sz w:val="24"/>
          <w:szCs w:val="24"/>
        </w:rPr>
        <w:t>.</w:t>
      </w:r>
      <w:r w:rsidR="00FE0B03" w:rsidRPr="00A6734F">
        <w:rPr>
          <w:rFonts w:cs="Times New Roman"/>
          <w:sz w:val="24"/>
          <w:szCs w:val="24"/>
        </w:rPr>
        <w:t xml:space="preserve"> </w:t>
      </w:r>
      <w:r w:rsidR="0083416C" w:rsidRPr="00A6734F">
        <w:rPr>
          <w:rFonts w:cs="Times New Roman"/>
          <w:sz w:val="24"/>
          <w:szCs w:val="24"/>
        </w:rPr>
        <w:t>Nonetheless,</w:t>
      </w:r>
      <w:r w:rsidR="000930CA" w:rsidRPr="00A6734F">
        <w:rPr>
          <w:rFonts w:cs="Times New Roman"/>
          <w:sz w:val="24"/>
          <w:szCs w:val="24"/>
        </w:rPr>
        <w:t xml:space="preserve"> </w:t>
      </w:r>
      <w:r w:rsidR="00FE0B03" w:rsidRPr="00A6734F">
        <w:rPr>
          <w:rFonts w:cs="Times New Roman"/>
          <w:sz w:val="24"/>
          <w:szCs w:val="24"/>
        </w:rPr>
        <w:t xml:space="preserve">the growth in the beginning of the year </w:t>
      </w:r>
      <w:r w:rsidR="00C521A3" w:rsidRPr="00A6734F">
        <w:rPr>
          <w:rFonts w:cs="Times New Roman"/>
          <w:sz w:val="24"/>
          <w:szCs w:val="24"/>
        </w:rPr>
        <w:t>indicates</w:t>
      </w:r>
      <w:r w:rsidR="008531CA" w:rsidRPr="00A6734F">
        <w:rPr>
          <w:rFonts w:cs="Times New Roman"/>
          <w:sz w:val="24"/>
          <w:szCs w:val="24"/>
        </w:rPr>
        <w:t xml:space="preserve"> overall investment remains high</w:t>
      </w:r>
      <w:r w:rsidR="00FE0B03" w:rsidRPr="00A6734F">
        <w:rPr>
          <w:rFonts w:cs="Times New Roman"/>
          <w:sz w:val="24"/>
          <w:szCs w:val="24"/>
        </w:rPr>
        <w:t xml:space="preserve">. </w:t>
      </w:r>
    </w:p>
    <w:p w:rsidR="00FE0B03" w:rsidRPr="00A6734F" w:rsidRDefault="00FE0B03" w:rsidP="00E17FD8">
      <w:pPr>
        <w:spacing w:after="0" w:line="240" w:lineRule="auto"/>
        <w:rPr>
          <w:rFonts w:cs="Times New Roman"/>
          <w:sz w:val="24"/>
          <w:szCs w:val="24"/>
        </w:rPr>
      </w:pPr>
    </w:p>
    <w:p w:rsidR="00FE0B03" w:rsidRPr="009A10CA" w:rsidRDefault="00FE0B03" w:rsidP="00D92091">
      <w:pPr>
        <w:keepNext/>
        <w:spacing w:after="0" w:line="240" w:lineRule="auto"/>
        <w:rPr>
          <w:rFonts w:cs="Times New Roman"/>
          <w:b/>
          <w:color w:val="419B03"/>
          <w:sz w:val="24"/>
          <w:szCs w:val="24"/>
        </w:rPr>
      </w:pPr>
      <w:r w:rsidRPr="009A10CA">
        <w:rPr>
          <w:rFonts w:cs="Times New Roman"/>
          <w:b/>
          <w:color w:val="419B03"/>
          <w:sz w:val="24"/>
          <w:szCs w:val="24"/>
        </w:rPr>
        <w:t>Figure 1</w:t>
      </w:r>
      <w:r w:rsidR="000913AF" w:rsidRPr="009A10CA">
        <w:rPr>
          <w:rFonts w:cs="Times New Roman"/>
          <w:b/>
          <w:color w:val="419B03"/>
          <w:sz w:val="24"/>
          <w:szCs w:val="24"/>
        </w:rPr>
        <w:t>.</w:t>
      </w:r>
      <w:r w:rsidRPr="009A10CA">
        <w:rPr>
          <w:rFonts w:cs="Times New Roman"/>
          <w:b/>
          <w:color w:val="419B03"/>
          <w:sz w:val="24"/>
          <w:szCs w:val="24"/>
        </w:rPr>
        <w:t xml:space="preserve"> Durable Goods Orders, </w:t>
      </w:r>
      <w:r w:rsidR="00F960BD" w:rsidRPr="009A10CA">
        <w:rPr>
          <w:rFonts w:cs="Times New Roman"/>
          <w:b/>
          <w:color w:val="419B03"/>
          <w:sz w:val="24"/>
          <w:szCs w:val="24"/>
        </w:rPr>
        <w:t>November</w:t>
      </w:r>
      <w:r w:rsidRPr="009A10CA">
        <w:rPr>
          <w:rFonts w:cs="Times New Roman"/>
          <w:b/>
          <w:color w:val="419B03"/>
          <w:sz w:val="24"/>
          <w:szCs w:val="24"/>
        </w:rPr>
        <w:t xml:space="preserve"> 2013</w:t>
      </w:r>
      <w:r w:rsidR="000913AF" w:rsidRPr="009A10CA">
        <w:rPr>
          <w:rFonts w:cs="Times New Roman"/>
          <w:b/>
          <w:color w:val="419B03"/>
          <w:sz w:val="24"/>
          <w:szCs w:val="24"/>
        </w:rPr>
        <w:t>–</w:t>
      </w:r>
      <w:r w:rsidR="00F960BD" w:rsidRPr="009A10CA">
        <w:rPr>
          <w:rFonts w:cs="Times New Roman"/>
          <w:b/>
          <w:color w:val="419B03"/>
          <w:sz w:val="24"/>
          <w:szCs w:val="24"/>
        </w:rPr>
        <w:t>Present</w:t>
      </w:r>
    </w:p>
    <w:p w:rsidR="00FE0B03" w:rsidRPr="00A6734F" w:rsidRDefault="00FE0B03" w:rsidP="00E17FD8">
      <w:pPr>
        <w:spacing w:after="0" w:line="240" w:lineRule="auto"/>
        <w:rPr>
          <w:rFonts w:cs="Times New Roman"/>
          <w:sz w:val="24"/>
          <w:szCs w:val="24"/>
        </w:rPr>
      </w:pPr>
      <w:r w:rsidRPr="00A6734F">
        <w:rPr>
          <w:rFonts w:cs="Times New Roman"/>
          <w:noProof/>
          <w:sz w:val="24"/>
          <w:szCs w:val="24"/>
        </w:rPr>
        <w:drawing>
          <wp:inline distT="0" distB="0" distL="0" distR="0">
            <wp:extent cx="4053840" cy="30403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3840" cy="3040380"/>
                    </a:xfrm>
                    <a:prstGeom prst="rect">
                      <a:avLst/>
                    </a:prstGeom>
                    <a:noFill/>
                    <a:ln>
                      <a:noFill/>
                    </a:ln>
                  </pic:spPr>
                </pic:pic>
              </a:graphicData>
            </a:graphic>
          </wp:inline>
        </w:drawing>
      </w:r>
    </w:p>
    <w:p w:rsidR="00FE0B03" w:rsidRPr="00A6734F" w:rsidRDefault="00FE0B03" w:rsidP="00E17FD8">
      <w:pPr>
        <w:spacing w:after="0" w:line="240" w:lineRule="auto"/>
        <w:rPr>
          <w:rFonts w:cs="Times New Roman"/>
          <w:sz w:val="24"/>
          <w:szCs w:val="24"/>
        </w:rPr>
      </w:pPr>
    </w:p>
    <w:p w:rsidR="00C046A2" w:rsidRPr="00A6734F" w:rsidRDefault="00C046A2" w:rsidP="00E17FD8">
      <w:pPr>
        <w:spacing w:after="0" w:line="240" w:lineRule="auto"/>
        <w:rPr>
          <w:rFonts w:cs="Times New Roman"/>
          <w:sz w:val="24"/>
          <w:szCs w:val="24"/>
        </w:rPr>
      </w:pPr>
      <w:r w:rsidRPr="00A6734F">
        <w:rPr>
          <w:rFonts w:cs="Times New Roman"/>
          <w:sz w:val="24"/>
          <w:szCs w:val="24"/>
        </w:rPr>
        <w:t>The core</w:t>
      </w:r>
      <w:r w:rsidR="000C5525" w:rsidRPr="00A6734F">
        <w:rPr>
          <w:rFonts w:cs="Times New Roman"/>
          <w:sz w:val="24"/>
          <w:szCs w:val="24"/>
        </w:rPr>
        <w:t xml:space="preserve"> durable goods</w:t>
      </w:r>
      <w:r w:rsidRPr="00A6734F">
        <w:rPr>
          <w:rFonts w:cs="Times New Roman"/>
          <w:sz w:val="24"/>
          <w:szCs w:val="24"/>
        </w:rPr>
        <w:t xml:space="preserve"> figure</w:t>
      </w:r>
      <w:r w:rsidR="000C5525" w:rsidRPr="00A6734F">
        <w:rPr>
          <w:rFonts w:cs="Times New Roman"/>
          <w:sz w:val="24"/>
          <w:szCs w:val="24"/>
        </w:rPr>
        <w:t>,</w:t>
      </w:r>
      <w:r w:rsidRPr="00A6734F">
        <w:rPr>
          <w:rFonts w:cs="Times New Roman"/>
          <w:sz w:val="24"/>
          <w:szCs w:val="24"/>
        </w:rPr>
        <w:t xml:space="preserve"> which strips out volatile transportation orders</w:t>
      </w:r>
      <w:r w:rsidR="000C5525" w:rsidRPr="00A6734F">
        <w:rPr>
          <w:rFonts w:cs="Times New Roman"/>
          <w:sz w:val="24"/>
          <w:szCs w:val="24"/>
        </w:rPr>
        <w:t>,</w:t>
      </w:r>
      <w:r w:rsidRPr="00A6734F">
        <w:rPr>
          <w:rFonts w:cs="Times New Roman"/>
          <w:sz w:val="24"/>
          <w:szCs w:val="24"/>
        </w:rPr>
        <w:t xml:space="preserve"> also declined by more than expected</w:t>
      </w:r>
      <w:r w:rsidR="00F51365" w:rsidRPr="00A6734F">
        <w:rPr>
          <w:rFonts w:cs="Times New Roman"/>
          <w:sz w:val="24"/>
          <w:szCs w:val="24"/>
        </w:rPr>
        <w:t>.</w:t>
      </w:r>
      <w:r w:rsidRPr="00A6734F">
        <w:rPr>
          <w:rFonts w:cs="Times New Roman"/>
          <w:sz w:val="24"/>
          <w:szCs w:val="24"/>
        </w:rPr>
        <w:t xml:space="preserve"> </w:t>
      </w:r>
      <w:r w:rsidR="00F51365" w:rsidRPr="00A6734F">
        <w:rPr>
          <w:rFonts w:cs="Times New Roman"/>
          <w:sz w:val="24"/>
          <w:szCs w:val="24"/>
        </w:rPr>
        <w:t>This</w:t>
      </w:r>
      <w:r w:rsidRPr="00A6734F">
        <w:rPr>
          <w:rFonts w:cs="Times New Roman"/>
          <w:sz w:val="24"/>
          <w:szCs w:val="24"/>
        </w:rPr>
        <w:t xml:space="preserve"> </w:t>
      </w:r>
      <w:r w:rsidR="00E63379" w:rsidRPr="00A6734F">
        <w:rPr>
          <w:rFonts w:cs="Times New Roman"/>
          <w:sz w:val="24"/>
          <w:szCs w:val="24"/>
        </w:rPr>
        <w:t xml:space="preserve">decline </w:t>
      </w:r>
      <w:r w:rsidRPr="00A6734F">
        <w:rPr>
          <w:rFonts w:cs="Times New Roman"/>
          <w:sz w:val="24"/>
          <w:szCs w:val="24"/>
        </w:rPr>
        <w:t>indicates that overall business investment</w:t>
      </w:r>
      <w:r w:rsidR="000C5525" w:rsidRPr="00A6734F">
        <w:rPr>
          <w:rFonts w:cs="Times New Roman"/>
          <w:sz w:val="24"/>
          <w:szCs w:val="24"/>
        </w:rPr>
        <w:t xml:space="preserve"> growth</w:t>
      </w:r>
      <w:r w:rsidRPr="00A6734F">
        <w:rPr>
          <w:rFonts w:cs="Times New Roman"/>
          <w:sz w:val="24"/>
          <w:szCs w:val="24"/>
        </w:rPr>
        <w:t xml:space="preserve"> may be slowing as we head into the end of the year</w:t>
      </w:r>
      <w:r w:rsidR="00E63379" w:rsidRPr="00A6734F">
        <w:rPr>
          <w:rFonts w:cs="Times New Roman"/>
          <w:sz w:val="24"/>
          <w:szCs w:val="24"/>
        </w:rPr>
        <w:t>.</w:t>
      </w:r>
      <w:r w:rsidR="008531CA" w:rsidRPr="00A6734F">
        <w:rPr>
          <w:rFonts w:cs="Times New Roman"/>
          <w:sz w:val="24"/>
          <w:szCs w:val="24"/>
        </w:rPr>
        <w:t xml:space="preserve"> </w:t>
      </w:r>
      <w:r w:rsidR="00E63379" w:rsidRPr="00A6734F">
        <w:rPr>
          <w:rFonts w:cs="Times New Roman"/>
          <w:sz w:val="24"/>
          <w:szCs w:val="24"/>
        </w:rPr>
        <w:t>A</w:t>
      </w:r>
      <w:r w:rsidR="008531CA" w:rsidRPr="00A6734F">
        <w:rPr>
          <w:rFonts w:cs="Times New Roman"/>
          <w:sz w:val="24"/>
          <w:szCs w:val="24"/>
        </w:rPr>
        <w:t>gain</w:t>
      </w:r>
      <w:r w:rsidR="00E63379" w:rsidRPr="00A6734F">
        <w:rPr>
          <w:rFonts w:cs="Times New Roman"/>
          <w:sz w:val="24"/>
          <w:szCs w:val="24"/>
        </w:rPr>
        <w:t>,</w:t>
      </w:r>
      <w:r w:rsidR="008531CA" w:rsidRPr="00A6734F">
        <w:rPr>
          <w:rFonts w:cs="Times New Roman"/>
          <w:sz w:val="24"/>
          <w:szCs w:val="24"/>
        </w:rPr>
        <w:t xml:space="preserve"> previous gains mean the level remains healthy</w:t>
      </w:r>
      <w:r w:rsidRPr="00A6734F">
        <w:rPr>
          <w:rFonts w:cs="Times New Roman"/>
          <w:sz w:val="24"/>
          <w:szCs w:val="24"/>
        </w:rPr>
        <w:t xml:space="preserve">. </w:t>
      </w:r>
    </w:p>
    <w:p w:rsidR="00C046A2" w:rsidRPr="00A6734F" w:rsidRDefault="00C046A2" w:rsidP="00E17FD8">
      <w:pPr>
        <w:spacing w:after="0" w:line="240" w:lineRule="auto"/>
        <w:rPr>
          <w:rFonts w:cs="Times New Roman"/>
          <w:sz w:val="24"/>
          <w:szCs w:val="24"/>
        </w:rPr>
      </w:pPr>
    </w:p>
    <w:p w:rsidR="00C046A2" w:rsidRPr="00A6734F" w:rsidRDefault="00824579" w:rsidP="00E17FD8">
      <w:pPr>
        <w:spacing w:after="0" w:line="240" w:lineRule="auto"/>
        <w:rPr>
          <w:rFonts w:cs="Times New Roman"/>
          <w:sz w:val="24"/>
          <w:szCs w:val="24"/>
        </w:rPr>
      </w:pPr>
      <w:r w:rsidRPr="00A6734F">
        <w:rPr>
          <w:rFonts w:cs="Times New Roman"/>
          <w:sz w:val="24"/>
          <w:szCs w:val="24"/>
        </w:rPr>
        <w:lastRenderedPageBreak/>
        <w:t>B</w:t>
      </w:r>
      <w:r w:rsidR="00C046A2" w:rsidRPr="00A6734F">
        <w:rPr>
          <w:rFonts w:cs="Times New Roman"/>
          <w:sz w:val="24"/>
          <w:szCs w:val="24"/>
        </w:rPr>
        <w:t xml:space="preserve">oth businesses </w:t>
      </w:r>
      <w:r w:rsidR="003155C2" w:rsidRPr="00A6734F">
        <w:rPr>
          <w:rFonts w:cs="Times New Roman"/>
          <w:sz w:val="24"/>
          <w:szCs w:val="24"/>
        </w:rPr>
        <w:t xml:space="preserve">and consumers saw a </w:t>
      </w:r>
      <w:r w:rsidR="00CB2D5B" w:rsidRPr="00A6734F">
        <w:rPr>
          <w:rFonts w:cs="Times New Roman"/>
          <w:sz w:val="24"/>
          <w:szCs w:val="24"/>
        </w:rPr>
        <w:t xml:space="preserve">small </w:t>
      </w:r>
      <w:r w:rsidR="003155C2" w:rsidRPr="00A6734F">
        <w:rPr>
          <w:rFonts w:cs="Times New Roman"/>
          <w:sz w:val="24"/>
          <w:szCs w:val="24"/>
        </w:rPr>
        <w:t xml:space="preserve">drop in overall </w:t>
      </w:r>
      <w:r w:rsidR="00F960BD" w:rsidRPr="00A6734F">
        <w:rPr>
          <w:rFonts w:cs="Times New Roman"/>
          <w:sz w:val="24"/>
          <w:szCs w:val="24"/>
        </w:rPr>
        <w:t>confidence</w:t>
      </w:r>
      <w:r w:rsidR="00560128" w:rsidRPr="00A6734F">
        <w:rPr>
          <w:rFonts w:cs="Times New Roman"/>
          <w:sz w:val="24"/>
          <w:szCs w:val="24"/>
        </w:rPr>
        <w:t>.</w:t>
      </w:r>
      <w:r w:rsidR="00E13A0A" w:rsidRPr="00A6734F">
        <w:rPr>
          <w:rFonts w:cs="Times New Roman"/>
          <w:sz w:val="24"/>
          <w:szCs w:val="24"/>
        </w:rPr>
        <w:t xml:space="preserve"> </w:t>
      </w:r>
      <w:r w:rsidR="00560128" w:rsidRPr="00A6734F">
        <w:rPr>
          <w:rFonts w:cs="Times New Roman"/>
          <w:sz w:val="24"/>
          <w:szCs w:val="24"/>
        </w:rPr>
        <w:t>B</w:t>
      </w:r>
      <w:r w:rsidR="00E13A0A" w:rsidRPr="00A6734F">
        <w:rPr>
          <w:rFonts w:cs="Times New Roman"/>
          <w:sz w:val="24"/>
          <w:szCs w:val="24"/>
        </w:rPr>
        <w:t xml:space="preserve">ut </w:t>
      </w:r>
      <w:r w:rsidR="000C5525" w:rsidRPr="00A6734F">
        <w:rPr>
          <w:rFonts w:cs="Times New Roman"/>
          <w:sz w:val="24"/>
          <w:szCs w:val="24"/>
        </w:rPr>
        <w:t>the</w:t>
      </w:r>
      <w:r w:rsidR="00E13A0A" w:rsidRPr="00A6734F">
        <w:rPr>
          <w:rFonts w:cs="Times New Roman"/>
          <w:sz w:val="24"/>
          <w:szCs w:val="24"/>
        </w:rPr>
        <w:t xml:space="preserve"> major indicators </w:t>
      </w:r>
      <w:r w:rsidR="00CB2D5B" w:rsidRPr="00A6734F">
        <w:rPr>
          <w:rFonts w:cs="Times New Roman"/>
          <w:sz w:val="24"/>
          <w:szCs w:val="24"/>
        </w:rPr>
        <w:t xml:space="preserve">are still </w:t>
      </w:r>
      <w:r w:rsidR="008531CA" w:rsidRPr="00A6734F">
        <w:rPr>
          <w:rFonts w:cs="Times New Roman"/>
          <w:sz w:val="24"/>
          <w:szCs w:val="24"/>
        </w:rPr>
        <w:t>close to all-time</w:t>
      </w:r>
      <w:r w:rsidR="00CB2D5B" w:rsidRPr="00A6734F">
        <w:rPr>
          <w:rFonts w:cs="Times New Roman"/>
          <w:sz w:val="24"/>
          <w:szCs w:val="24"/>
        </w:rPr>
        <w:t xml:space="preserve"> high</w:t>
      </w:r>
      <w:r w:rsidR="00740238" w:rsidRPr="00A6734F">
        <w:rPr>
          <w:rFonts w:cs="Times New Roman"/>
          <w:sz w:val="24"/>
          <w:szCs w:val="24"/>
        </w:rPr>
        <w:t>s</w:t>
      </w:r>
      <w:r w:rsidR="00CB2D5B" w:rsidRPr="00A6734F">
        <w:rPr>
          <w:rFonts w:cs="Times New Roman"/>
          <w:sz w:val="24"/>
          <w:szCs w:val="24"/>
        </w:rPr>
        <w:t xml:space="preserve"> and </w:t>
      </w:r>
      <w:r w:rsidR="00B95F58" w:rsidRPr="00A6734F">
        <w:rPr>
          <w:rFonts w:cs="Times New Roman"/>
          <w:sz w:val="24"/>
          <w:szCs w:val="24"/>
        </w:rPr>
        <w:t>show</w:t>
      </w:r>
      <w:r w:rsidR="00CB2D5B" w:rsidRPr="00A6734F">
        <w:rPr>
          <w:rFonts w:cs="Times New Roman"/>
          <w:sz w:val="24"/>
          <w:szCs w:val="24"/>
        </w:rPr>
        <w:t xml:space="preserve"> continued growth. T</w:t>
      </w:r>
      <w:r w:rsidR="000C5525" w:rsidRPr="00A6734F">
        <w:rPr>
          <w:rFonts w:cs="Times New Roman"/>
          <w:sz w:val="24"/>
          <w:szCs w:val="24"/>
        </w:rPr>
        <w:t xml:space="preserve">here may </w:t>
      </w:r>
      <w:r w:rsidR="00CB2D5B" w:rsidRPr="00A6734F">
        <w:rPr>
          <w:rFonts w:cs="Times New Roman"/>
          <w:sz w:val="24"/>
          <w:szCs w:val="24"/>
        </w:rPr>
        <w:t xml:space="preserve">even </w:t>
      </w:r>
      <w:r w:rsidR="000C5525" w:rsidRPr="00A6734F">
        <w:rPr>
          <w:rFonts w:cs="Times New Roman"/>
          <w:sz w:val="24"/>
          <w:szCs w:val="24"/>
        </w:rPr>
        <w:t xml:space="preserve">be </w:t>
      </w:r>
      <w:r w:rsidR="00357745" w:rsidRPr="00A6734F">
        <w:rPr>
          <w:rFonts w:cs="Times New Roman"/>
          <w:sz w:val="24"/>
          <w:szCs w:val="24"/>
        </w:rPr>
        <w:t xml:space="preserve">some </w:t>
      </w:r>
      <w:r w:rsidR="000C5525" w:rsidRPr="00A6734F">
        <w:rPr>
          <w:rFonts w:cs="Times New Roman"/>
          <w:sz w:val="24"/>
          <w:szCs w:val="24"/>
        </w:rPr>
        <w:t>upside risk here</w:t>
      </w:r>
      <w:r w:rsidR="00E13A0A" w:rsidRPr="00A6734F">
        <w:rPr>
          <w:rFonts w:cs="Times New Roman"/>
          <w:sz w:val="24"/>
          <w:szCs w:val="24"/>
        </w:rPr>
        <w:t xml:space="preserve">. </w:t>
      </w:r>
      <w:r w:rsidR="00F87A58" w:rsidRPr="00A6734F">
        <w:rPr>
          <w:rFonts w:cs="Times New Roman"/>
          <w:sz w:val="24"/>
          <w:szCs w:val="24"/>
        </w:rPr>
        <w:t>A</w:t>
      </w:r>
      <w:r w:rsidR="00E13A0A" w:rsidRPr="00A6734F">
        <w:rPr>
          <w:rFonts w:cs="Times New Roman"/>
          <w:sz w:val="24"/>
          <w:szCs w:val="24"/>
        </w:rPr>
        <w:t xml:space="preserve">s gas prices continue to fall and </w:t>
      </w:r>
      <w:r w:rsidR="00F87A58" w:rsidRPr="00A6734F">
        <w:rPr>
          <w:rFonts w:cs="Times New Roman"/>
          <w:sz w:val="24"/>
          <w:szCs w:val="24"/>
        </w:rPr>
        <w:t xml:space="preserve">with </w:t>
      </w:r>
      <w:r w:rsidR="00E13A0A" w:rsidRPr="00A6734F">
        <w:rPr>
          <w:rFonts w:cs="Times New Roman"/>
          <w:sz w:val="24"/>
          <w:szCs w:val="24"/>
        </w:rPr>
        <w:t>the jobs market healthy</w:t>
      </w:r>
      <w:r w:rsidR="00F87A58" w:rsidRPr="00A6734F">
        <w:rPr>
          <w:rFonts w:cs="Times New Roman"/>
          <w:sz w:val="24"/>
          <w:szCs w:val="24"/>
        </w:rPr>
        <w:t>, consumer confidence may be set to increase.</w:t>
      </w:r>
      <w:r w:rsidR="00E13A0A" w:rsidRPr="00A6734F">
        <w:rPr>
          <w:rFonts w:cs="Times New Roman"/>
          <w:sz w:val="24"/>
          <w:szCs w:val="24"/>
        </w:rPr>
        <w:t xml:space="preserve"> </w:t>
      </w:r>
      <w:r w:rsidR="006C531C" w:rsidRPr="00A6734F">
        <w:rPr>
          <w:rFonts w:cs="Times New Roman"/>
          <w:sz w:val="24"/>
          <w:szCs w:val="24"/>
        </w:rPr>
        <w:t xml:space="preserve">In fact, </w:t>
      </w:r>
      <w:r w:rsidR="00E13A0A" w:rsidRPr="00A6734F">
        <w:rPr>
          <w:rFonts w:cs="Times New Roman"/>
          <w:sz w:val="24"/>
          <w:szCs w:val="24"/>
        </w:rPr>
        <w:t>250,000</w:t>
      </w:r>
      <w:r w:rsidR="00F960BD" w:rsidRPr="00A6734F">
        <w:rPr>
          <w:rFonts w:cs="Times New Roman"/>
          <w:sz w:val="24"/>
          <w:szCs w:val="24"/>
        </w:rPr>
        <w:t xml:space="preserve"> new jobs</w:t>
      </w:r>
      <w:r w:rsidR="00E13A0A" w:rsidRPr="00A6734F">
        <w:rPr>
          <w:rFonts w:cs="Times New Roman"/>
          <w:sz w:val="24"/>
          <w:szCs w:val="24"/>
        </w:rPr>
        <w:t xml:space="preserve"> were added in October</w:t>
      </w:r>
      <w:r w:rsidR="0016794A" w:rsidRPr="00A6734F">
        <w:rPr>
          <w:rFonts w:cs="Times New Roman"/>
          <w:sz w:val="24"/>
          <w:szCs w:val="24"/>
        </w:rPr>
        <w:t>.</w:t>
      </w:r>
      <w:r w:rsidR="00E13A0A" w:rsidRPr="00A6734F">
        <w:rPr>
          <w:rFonts w:cs="Times New Roman"/>
          <w:sz w:val="24"/>
          <w:szCs w:val="24"/>
        </w:rPr>
        <w:t xml:space="preserve"> </w:t>
      </w:r>
      <w:r w:rsidR="0016794A" w:rsidRPr="00A6734F">
        <w:rPr>
          <w:rFonts w:cs="Times New Roman"/>
          <w:sz w:val="24"/>
          <w:szCs w:val="24"/>
        </w:rPr>
        <w:t>This result m</w:t>
      </w:r>
      <w:r w:rsidR="00E13A0A" w:rsidRPr="00A6734F">
        <w:rPr>
          <w:rFonts w:cs="Times New Roman"/>
          <w:sz w:val="24"/>
          <w:szCs w:val="24"/>
        </w:rPr>
        <w:t>a</w:t>
      </w:r>
      <w:r w:rsidR="0016794A" w:rsidRPr="00A6734F">
        <w:rPr>
          <w:rFonts w:cs="Times New Roman"/>
          <w:sz w:val="24"/>
          <w:szCs w:val="24"/>
        </w:rPr>
        <w:t>de</w:t>
      </w:r>
      <w:r w:rsidR="00E13A0A" w:rsidRPr="00A6734F">
        <w:rPr>
          <w:rFonts w:cs="Times New Roman"/>
          <w:sz w:val="24"/>
          <w:szCs w:val="24"/>
        </w:rPr>
        <w:t xml:space="preserve"> up for the modest gain of 118,000 we saw in September</w:t>
      </w:r>
      <w:r w:rsidR="00925114" w:rsidRPr="00A6734F">
        <w:rPr>
          <w:rFonts w:cs="Times New Roman"/>
          <w:sz w:val="24"/>
          <w:szCs w:val="24"/>
        </w:rPr>
        <w:t xml:space="preserve"> (</w:t>
      </w:r>
      <w:r w:rsidR="00F960BD" w:rsidRPr="00A6734F">
        <w:rPr>
          <w:rFonts w:cs="Times New Roman"/>
          <w:sz w:val="24"/>
          <w:szCs w:val="24"/>
        </w:rPr>
        <w:t xml:space="preserve">likely due in part to the </w:t>
      </w:r>
      <w:r w:rsidR="001451DD" w:rsidRPr="00A6734F">
        <w:rPr>
          <w:rFonts w:cs="Times New Roman"/>
          <w:sz w:val="24"/>
          <w:szCs w:val="24"/>
        </w:rPr>
        <w:t>effect of H</w:t>
      </w:r>
      <w:r w:rsidR="00F960BD" w:rsidRPr="00A6734F">
        <w:rPr>
          <w:rFonts w:cs="Times New Roman"/>
          <w:sz w:val="24"/>
          <w:szCs w:val="24"/>
        </w:rPr>
        <w:t>urricane Florence</w:t>
      </w:r>
      <w:r w:rsidR="00AE4836" w:rsidRPr="00A6734F">
        <w:rPr>
          <w:rFonts w:cs="Times New Roman"/>
          <w:sz w:val="24"/>
          <w:szCs w:val="24"/>
        </w:rPr>
        <w:t>)</w:t>
      </w:r>
      <w:r w:rsidR="00925114" w:rsidRPr="00A6734F">
        <w:rPr>
          <w:rFonts w:cs="Times New Roman"/>
          <w:sz w:val="24"/>
          <w:szCs w:val="24"/>
        </w:rPr>
        <w:t>.</w:t>
      </w:r>
      <w:r w:rsidR="00F960BD" w:rsidRPr="00A6734F">
        <w:rPr>
          <w:rFonts w:cs="Times New Roman"/>
          <w:sz w:val="24"/>
          <w:szCs w:val="24"/>
        </w:rPr>
        <w:t xml:space="preserve"> </w:t>
      </w:r>
      <w:r w:rsidR="00925114" w:rsidRPr="00A6734F">
        <w:rPr>
          <w:rFonts w:cs="Times New Roman"/>
          <w:sz w:val="24"/>
          <w:szCs w:val="24"/>
        </w:rPr>
        <w:t>S</w:t>
      </w:r>
      <w:r w:rsidR="00F960BD" w:rsidRPr="00A6734F">
        <w:rPr>
          <w:rFonts w:cs="Times New Roman"/>
          <w:sz w:val="24"/>
          <w:szCs w:val="24"/>
        </w:rPr>
        <w:t>o</w:t>
      </w:r>
      <w:r w:rsidR="00925114" w:rsidRPr="00A6734F">
        <w:rPr>
          <w:rFonts w:cs="Times New Roman"/>
          <w:sz w:val="24"/>
          <w:szCs w:val="24"/>
        </w:rPr>
        <w:t>,</w:t>
      </w:r>
      <w:r w:rsidR="00F960BD" w:rsidRPr="00A6734F">
        <w:rPr>
          <w:rFonts w:cs="Times New Roman"/>
          <w:sz w:val="24"/>
          <w:szCs w:val="24"/>
        </w:rPr>
        <w:t xml:space="preserve"> the rebound is encouraging. </w:t>
      </w:r>
      <w:r w:rsidR="00E13A0A" w:rsidRPr="00A6734F">
        <w:rPr>
          <w:rFonts w:cs="Times New Roman"/>
          <w:sz w:val="24"/>
          <w:szCs w:val="24"/>
        </w:rPr>
        <w:t>Unemployment remained at 3.7 percent</w:t>
      </w:r>
      <w:r w:rsidR="00DA6779" w:rsidRPr="00A6734F">
        <w:rPr>
          <w:rFonts w:cs="Times New Roman"/>
          <w:sz w:val="24"/>
          <w:szCs w:val="24"/>
        </w:rPr>
        <w:t>,</w:t>
      </w:r>
      <w:r w:rsidR="00E13A0A" w:rsidRPr="00A6734F">
        <w:rPr>
          <w:rFonts w:cs="Times New Roman"/>
          <w:sz w:val="24"/>
          <w:szCs w:val="24"/>
        </w:rPr>
        <w:t xml:space="preserve"> and wages grew by a strong 3.1 percent on an annual basis.</w:t>
      </w:r>
      <w:r w:rsidR="00CB2D5B" w:rsidRPr="00A6734F">
        <w:rPr>
          <w:rFonts w:cs="Times New Roman"/>
          <w:sz w:val="24"/>
          <w:szCs w:val="24"/>
        </w:rPr>
        <w:t xml:space="preserve"> More jobs and higher wages should help keep the largest sector of the economy solid.</w:t>
      </w:r>
    </w:p>
    <w:p w:rsidR="00E13A0A" w:rsidRPr="00A6734F" w:rsidRDefault="00E13A0A" w:rsidP="00E17FD8">
      <w:pPr>
        <w:spacing w:after="0" w:line="240" w:lineRule="auto"/>
        <w:rPr>
          <w:rFonts w:cs="Times New Roman"/>
          <w:sz w:val="24"/>
          <w:szCs w:val="24"/>
        </w:rPr>
      </w:pPr>
    </w:p>
    <w:p w:rsidR="00E13A0A" w:rsidRPr="00A6734F" w:rsidRDefault="00184D47" w:rsidP="00E17FD8">
      <w:pPr>
        <w:spacing w:after="0" w:line="240" w:lineRule="auto"/>
        <w:rPr>
          <w:rFonts w:cs="Times New Roman"/>
          <w:sz w:val="24"/>
          <w:szCs w:val="24"/>
        </w:rPr>
      </w:pPr>
      <w:r w:rsidRPr="00A6734F">
        <w:rPr>
          <w:rFonts w:cs="Times New Roman"/>
          <w:sz w:val="24"/>
          <w:szCs w:val="24"/>
        </w:rPr>
        <w:t>A</w:t>
      </w:r>
      <w:r w:rsidR="000930CA" w:rsidRPr="00A6734F">
        <w:rPr>
          <w:rFonts w:cs="Times New Roman"/>
          <w:sz w:val="24"/>
          <w:szCs w:val="24"/>
        </w:rPr>
        <w:t>lthough</w:t>
      </w:r>
      <w:r w:rsidR="00356F3C" w:rsidRPr="00A6734F">
        <w:rPr>
          <w:rFonts w:cs="Times New Roman"/>
          <w:sz w:val="24"/>
          <w:szCs w:val="24"/>
        </w:rPr>
        <w:t xml:space="preserve"> growth appears to be slowing </w:t>
      </w:r>
      <w:r w:rsidR="00CB2D5B" w:rsidRPr="00A6734F">
        <w:rPr>
          <w:rFonts w:cs="Times New Roman"/>
          <w:sz w:val="24"/>
          <w:szCs w:val="24"/>
        </w:rPr>
        <w:t xml:space="preserve">in some areas, </w:t>
      </w:r>
      <w:r w:rsidR="00F960BD" w:rsidRPr="00A6734F">
        <w:rPr>
          <w:rFonts w:cs="Times New Roman"/>
          <w:sz w:val="24"/>
          <w:szCs w:val="24"/>
        </w:rPr>
        <w:t>most</w:t>
      </w:r>
      <w:r w:rsidR="00E13A0A" w:rsidRPr="00A6734F">
        <w:rPr>
          <w:rFonts w:cs="Times New Roman"/>
          <w:sz w:val="24"/>
          <w:szCs w:val="24"/>
        </w:rPr>
        <w:t xml:space="preserve"> of the economy </w:t>
      </w:r>
      <w:r w:rsidR="00CB2D5B" w:rsidRPr="00A6734F">
        <w:rPr>
          <w:rFonts w:cs="Times New Roman"/>
          <w:sz w:val="24"/>
          <w:szCs w:val="24"/>
        </w:rPr>
        <w:t>continues</w:t>
      </w:r>
      <w:r w:rsidR="00E13A0A" w:rsidRPr="00A6734F">
        <w:rPr>
          <w:rFonts w:cs="Times New Roman"/>
          <w:sz w:val="24"/>
          <w:szCs w:val="24"/>
        </w:rPr>
        <w:t xml:space="preserve"> to be healthy</w:t>
      </w:r>
      <w:r w:rsidR="007736EC" w:rsidRPr="00A6734F">
        <w:rPr>
          <w:rFonts w:cs="Times New Roman"/>
          <w:sz w:val="24"/>
          <w:szCs w:val="24"/>
        </w:rPr>
        <w:t xml:space="preserve"> and growing</w:t>
      </w:r>
      <w:r w:rsidR="00E13A0A" w:rsidRPr="00A6734F">
        <w:rPr>
          <w:rFonts w:cs="Times New Roman"/>
          <w:sz w:val="24"/>
          <w:szCs w:val="24"/>
        </w:rPr>
        <w:t xml:space="preserve">. Strong employment and high confidence levels should continue to support consumer spending as we head into the important holiday shopping season. </w:t>
      </w:r>
      <w:r w:rsidR="00F92CFD" w:rsidRPr="00A6734F">
        <w:rPr>
          <w:rFonts w:cs="Times New Roman"/>
          <w:sz w:val="24"/>
          <w:szCs w:val="24"/>
        </w:rPr>
        <w:t>Of course, t</w:t>
      </w:r>
      <w:r w:rsidR="00E13A0A" w:rsidRPr="00A6734F">
        <w:rPr>
          <w:rFonts w:cs="Times New Roman"/>
          <w:sz w:val="24"/>
          <w:szCs w:val="24"/>
        </w:rPr>
        <w:t>he slowdown in business investment is worth watching</w:t>
      </w:r>
      <w:r w:rsidR="00F92CFD" w:rsidRPr="00A6734F">
        <w:rPr>
          <w:rFonts w:cs="Times New Roman"/>
          <w:sz w:val="24"/>
          <w:szCs w:val="24"/>
        </w:rPr>
        <w:t>.</w:t>
      </w:r>
      <w:r w:rsidR="00E13A0A" w:rsidRPr="00A6734F">
        <w:rPr>
          <w:rFonts w:cs="Times New Roman"/>
          <w:sz w:val="24"/>
          <w:szCs w:val="24"/>
        </w:rPr>
        <w:t xml:space="preserve"> </w:t>
      </w:r>
      <w:r w:rsidR="00F92CFD" w:rsidRPr="00A6734F">
        <w:rPr>
          <w:rFonts w:cs="Times New Roman"/>
          <w:sz w:val="24"/>
          <w:szCs w:val="24"/>
        </w:rPr>
        <w:t>B</w:t>
      </w:r>
      <w:r w:rsidR="000930CA" w:rsidRPr="00A6734F">
        <w:rPr>
          <w:rFonts w:cs="Times New Roman"/>
          <w:sz w:val="24"/>
          <w:szCs w:val="24"/>
        </w:rPr>
        <w:t xml:space="preserve">ut </w:t>
      </w:r>
      <w:r w:rsidR="00E13A0A" w:rsidRPr="00A6734F">
        <w:rPr>
          <w:rFonts w:cs="Times New Roman"/>
          <w:sz w:val="24"/>
          <w:szCs w:val="24"/>
        </w:rPr>
        <w:t xml:space="preserve">the large levels of investment we saw </w:t>
      </w:r>
      <w:r w:rsidR="00356F3C" w:rsidRPr="00A6734F">
        <w:rPr>
          <w:rFonts w:cs="Times New Roman"/>
          <w:sz w:val="24"/>
          <w:szCs w:val="24"/>
        </w:rPr>
        <w:t>early in the year following</w:t>
      </w:r>
      <w:r w:rsidR="00E13A0A" w:rsidRPr="00A6734F">
        <w:rPr>
          <w:rFonts w:cs="Times New Roman"/>
          <w:sz w:val="24"/>
          <w:szCs w:val="24"/>
        </w:rPr>
        <w:t xml:space="preserve"> last year’s tax reform indicate that we are not at worrisome levels yet.</w:t>
      </w:r>
    </w:p>
    <w:p w:rsidR="00F960BD" w:rsidRPr="00A6734F" w:rsidRDefault="00F960BD" w:rsidP="00E17FD8">
      <w:pPr>
        <w:spacing w:after="0" w:line="240" w:lineRule="auto"/>
        <w:rPr>
          <w:rFonts w:cs="Times New Roman"/>
          <w:sz w:val="24"/>
          <w:szCs w:val="24"/>
        </w:rPr>
      </w:pPr>
    </w:p>
    <w:p w:rsidR="001476D0" w:rsidRPr="009A10CA" w:rsidRDefault="001476D0" w:rsidP="00E17FD8">
      <w:pPr>
        <w:spacing w:after="0" w:line="240" w:lineRule="auto"/>
        <w:rPr>
          <w:b/>
          <w:color w:val="419B03"/>
          <w:sz w:val="24"/>
          <w:szCs w:val="24"/>
        </w:rPr>
      </w:pPr>
      <w:r w:rsidRPr="009A10CA">
        <w:rPr>
          <w:b/>
          <w:color w:val="419B03"/>
          <w:sz w:val="24"/>
          <w:szCs w:val="24"/>
        </w:rPr>
        <w:t xml:space="preserve">Politics continue to </w:t>
      </w:r>
      <w:r w:rsidR="00C90CAC" w:rsidRPr="009A10CA">
        <w:rPr>
          <w:b/>
          <w:color w:val="419B03"/>
          <w:sz w:val="24"/>
          <w:szCs w:val="24"/>
        </w:rPr>
        <w:t>affect</w:t>
      </w:r>
      <w:r w:rsidRPr="009A10CA">
        <w:rPr>
          <w:b/>
          <w:color w:val="419B03"/>
          <w:sz w:val="24"/>
          <w:szCs w:val="24"/>
        </w:rPr>
        <w:t xml:space="preserve"> markets</w:t>
      </w:r>
    </w:p>
    <w:p w:rsidR="001476D0" w:rsidRPr="00A6734F" w:rsidRDefault="00CB2D5B" w:rsidP="00E17FD8">
      <w:pPr>
        <w:spacing w:after="0" w:line="240" w:lineRule="auto"/>
        <w:rPr>
          <w:sz w:val="24"/>
          <w:szCs w:val="24"/>
        </w:rPr>
      </w:pPr>
      <w:r w:rsidRPr="00A6734F">
        <w:rPr>
          <w:sz w:val="24"/>
          <w:szCs w:val="24"/>
        </w:rPr>
        <w:t>The big news in November was the midterm elections</w:t>
      </w:r>
      <w:r w:rsidR="00D4100B" w:rsidRPr="00A6734F">
        <w:rPr>
          <w:sz w:val="24"/>
          <w:szCs w:val="24"/>
        </w:rPr>
        <w:t>—</w:t>
      </w:r>
      <w:r w:rsidRPr="00A6734F">
        <w:rPr>
          <w:sz w:val="24"/>
          <w:szCs w:val="24"/>
        </w:rPr>
        <w:t>once again sho</w:t>
      </w:r>
      <w:r w:rsidR="00AB1DD8" w:rsidRPr="00A6734F">
        <w:rPr>
          <w:sz w:val="24"/>
          <w:szCs w:val="24"/>
        </w:rPr>
        <w:t>w</w:t>
      </w:r>
      <w:r w:rsidR="009521E2" w:rsidRPr="00A6734F">
        <w:rPr>
          <w:sz w:val="24"/>
          <w:szCs w:val="24"/>
        </w:rPr>
        <w:t>ing</w:t>
      </w:r>
      <w:r w:rsidR="00AB1DD8" w:rsidRPr="00A6734F">
        <w:rPr>
          <w:sz w:val="24"/>
          <w:szCs w:val="24"/>
        </w:rPr>
        <w:t xml:space="preserve"> us how politics can </w:t>
      </w:r>
      <w:r w:rsidR="009521E2" w:rsidRPr="00A6734F">
        <w:rPr>
          <w:sz w:val="24"/>
          <w:szCs w:val="24"/>
        </w:rPr>
        <w:t>have both negative and positive e</w:t>
      </w:r>
      <w:r w:rsidR="00C90CAC" w:rsidRPr="00A6734F">
        <w:rPr>
          <w:sz w:val="24"/>
          <w:szCs w:val="24"/>
        </w:rPr>
        <w:t>ffect</w:t>
      </w:r>
      <w:r w:rsidR="009521E2" w:rsidRPr="00A6734F">
        <w:rPr>
          <w:sz w:val="24"/>
          <w:szCs w:val="24"/>
        </w:rPr>
        <w:t>s</w:t>
      </w:r>
      <w:r w:rsidR="00AB1DD8" w:rsidRPr="00A6734F">
        <w:rPr>
          <w:sz w:val="24"/>
          <w:szCs w:val="24"/>
        </w:rPr>
        <w:t xml:space="preserve"> </w:t>
      </w:r>
      <w:r w:rsidR="009521E2" w:rsidRPr="00A6734F">
        <w:rPr>
          <w:sz w:val="24"/>
          <w:szCs w:val="24"/>
        </w:rPr>
        <w:t xml:space="preserve">on the </w:t>
      </w:r>
      <w:r w:rsidR="00AB1DD8" w:rsidRPr="00A6734F">
        <w:rPr>
          <w:sz w:val="24"/>
          <w:szCs w:val="24"/>
        </w:rPr>
        <w:t xml:space="preserve">markets. On the </w:t>
      </w:r>
      <w:r w:rsidR="000C5525" w:rsidRPr="00A6734F">
        <w:rPr>
          <w:sz w:val="24"/>
          <w:szCs w:val="24"/>
        </w:rPr>
        <w:t>positive</w:t>
      </w:r>
      <w:r w:rsidR="00AB1DD8" w:rsidRPr="00A6734F">
        <w:rPr>
          <w:sz w:val="24"/>
          <w:szCs w:val="24"/>
        </w:rPr>
        <w:t xml:space="preserve"> side, </w:t>
      </w:r>
      <w:r w:rsidR="00450E44" w:rsidRPr="00A6734F">
        <w:rPr>
          <w:sz w:val="24"/>
          <w:szCs w:val="24"/>
        </w:rPr>
        <w:t xml:space="preserve">as the uncertainty from the elections disappeared once they were over, we saw </w:t>
      </w:r>
      <w:r w:rsidR="00AB1DD8" w:rsidRPr="00A6734F">
        <w:rPr>
          <w:sz w:val="24"/>
          <w:szCs w:val="24"/>
        </w:rPr>
        <w:t>a rally in equities</w:t>
      </w:r>
      <w:r w:rsidR="0022132E" w:rsidRPr="00A6734F">
        <w:rPr>
          <w:sz w:val="24"/>
          <w:szCs w:val="24"/>
        </w:rPr>
        <w:t>. Unfortunately, this rally was not long</w:t>
      </w:r>
      <w:r w:rsidR="00AF2435" w:rsidRPr="00A6734F">
        <w:rPr>
          <w:sz w:val="24"/>
          <w:szCs w:val="24"/>
        </w:rPr>
        <w:t xml:space="preserve"> </w:t>
      </w:r>
      <w:r w:rsidR="0022132E" w:rsidRPr="00A6734F">
        <w:rPr>
          <w:sz w:val="24"/>
          <w:szCs w:val="24"/>
        </w:rPr>
        <w:t>lived</w:t>
      </w:r>
      <w:r w:rsidR="00AF2435" w:rsidRPr="00A6734F">
        <w:rPr>
          <w:sz w:val="24"/>
          <w:szCs w:val="24"/>
        </w:rPr>
        <w:t>.</w:t>
      </w:r>
      <w:r w:rsidR="0022132E" w:rsidRPr="00A6734F">
        <w:rPr>
          <w:sz w:val="24"/>
          <w:szCs w:val="24"/>
        </w:rPr>
        <w:t xml:space="preserve"> </w:t>
      </w:r>
      <w:r w:rsidR="00151053" w:rsidRPr="00A6734F">
        <w:rPr>
          <w:sz w:val="24"/>
          <w:szCs w:val="24"/>
        </w:rPr>
        <w:t>On the negative side, c</w:t>
      </w:r>
      <w:r w:rsidR="0022132E" w:rsidRPr="00A6734F">
        <w:rPr>
          <w:sz w:val="24"/>
          <w:szCs w:val="24"/>
        </w:rPr>
        <w:t xml:space="preserve">oncerns surrounding global growth and continued talk of trade war </w:t>
      </w:r>
      <w:r w:rsidR="00151053" w:rsidRPr="00A6734F">
        <w:rPr>
          <w:sz w:val="24"/>
          <w:szCs w:val="24"/>
        </w:rPr>
        <w:t xml:space="preserve">escalation </w:t>
      </w:r>
      <w:r w:rsidR="0022132E" w:rsidRPr="00A6734F">
        <w:rPr>
          <w:sz w:val="24"/>
          <w:szCs w:val="24"/>
        </w:rPr>
        <w:t xml:space="preserve">caused global </w:t>
      </w:r>
      <w:r w:rsidR="000C5525" w:rsidRPr="00A6734F">
        <w:rPr>
          <w:sz w:val="24"/>
          <w:szCs w:val="24"/>
        </w:rPr>
        <w:t xml:space="preserve">market </w:t>
      </w:r>
      <w:r w:rsidR="0022132E" w:rsidRPr="00A6734F">
        <w:rPr>
          <w:sz w:val="24"/>
          <w:szCs w:val="24"/>
        </w:rPr>
        <w:t xml:space="preserve">turbulence midmonth. </w:t>
      </w:r>
      <w:r w:rsidR="00151053" w:rsidRPr="00A6734F">
        <w:rPr>
          <w:sz w:val="24"/>
          <w:szCs w:val="24"/>
        </w:rPr>
        <w:t>But</w:t>
      </w:r>
      <w:r w:rsidR="00CB77E2" w:rsidRPr="00A6734F">
        <w:rPr>
          <w:sz w:val="24"/>
          <w:szCs w:val="24"/>
        </w:rPr>
        <w:t xml:space="preserve"> at month</w:t>
      </w:r>
      <w:r w:rsidR="00C90CAC" w:rsidRPr="00A6734F">
        <w:rPr>
          <w:sz w:val="24"/>
          <w:szCs w:val="24"/>
        </w:rPr>
        <w:t>-</w:t>
      </w:r>
      <w:r w:rsidR="00CB77E2" w:rsidRPr="00A6734F">
        <w:rPr>
          <w:sz w:val="24"/>
          <w:szCs w:val="24"/>
        </w:rPr>
        <w:t>end</w:t>
      </w:r>
      <w:r w:rsidR="00151053" w:rsidRPr="00A6734F">
        <w:rPr>
          <w:sz w:val="24"/>
          <w:szCs w:val="24"/>
        </w:rPr>
        <w:t>,</w:t>
      </w:r>
      <w:r w:rsidR="00CB77E2" w:rsidRPr="00A6734F">
        <w:rPr>
          <w:sz w:val="24"/>
          <w:szCs w:val="24"/>
        </w:rPr>
        <w:t xml:space="preserve"> we </w:t>
      </w:r>
      <w:r w:rsidR="00151053" w:rsidRPr="00A6734F">
        <w:rPr>
          <w:sz w:val="24"/>
          <w:szCs w:val="24"/>
        </w:rPr>
        <w:t>had</w:t>
      </w:r>
      <w:r w:rsidR="00CB77E2" w:rsidRPr="00A6734F">
        <w:rPr>
          <w:sz w:val="24"/>
          <w:szCs w:val="24"/>
        </w:rPr>
        <w:t xml:space="preserve"> another rally </w:t>
      </w:r>
      <w:r w:rsidR="008E5FE2" w:rsidRPr="00A6734F">
        <w:rPr>
          <w:sz w:val="24"/>
          <w:szCs w:val="24"/>
        </w:rPr>
        <w:t>after</w:t>
      </w:r>
      <w:r w:rsidR="00CB77E2" w:rsidRPr="00A6734F">
        <w:rPr>
          <w:sz w:val="24"/>
          <w:szCs w:val="24"/>
        </w:rPr>
        <w:t xml:space="preserve"> the postpo</w:t>
      </w:r>
      <w:r w:rsidR="00DD1351" w:rsidRPr="00A6734F">
        <w:rPr>
          <w:sz w:val="24"/>
          <w:szCs w:val="24"/>
        </w:rPr>
        <w:t>nement of the U</w:t>
      </w:r>
      <w:r w:rsidR="00C90CAC" w:rsidRPr="00A6734F">
        <w:rPr>
          <w:sz w:val="24"/>
          <w:szCs w:val="24"/>
        </w:rPr>
        <w:t>.</w:t>
      </w:r>
      <w:r w:rsidR="00DD1351" w:rsidRPr="00A6734F">
        <w:rPr>
          <w:sz w:val="24"/>
          <w:szCs w:val="24"/>
        </w:rPr>
        <w:t>S</w:t>
      </w:r>
      <w:r w:rsidR="00C90CAC" w:rsidRPr="00A6734F">
        <w:rPr>
          <w:sz w:val="24"/>
          <w:szCs w:val="24"/>
        </w:rPr>
        <w:t>.</w:t>
      </w:r>
      <w:r w:rsidR="00DD1351" w:rsidRPr="00A6734F">
        <w:rPr>
          <w:sz w:val="24"/>
          <w:szCs w:val="24"/>
        </w:rPr>
        <w:t>-China trade war</w:t>
      </w:r>
      <w:r w:rsidR="00CB77E2" w:rsidRPr="00A6734F">
        <w:rPr>
          <w:sz w:val="24"/>
          <w:szCs w:val="24"/>
        </w:rPr>
        <w:t xml:space="preserve"> at the G20 meeting. Politics giveth</w:t>
      </w:r>
      <w:r w:rsidR="00151053" w:rsidRPr="00A6734F">
        <w:rPr>
          <w:sz w:val="24"/>
          <w:szCs w:val="24"/>
        </w:rPr>
        <w:t>,</w:t>
      </w:r>
      <w:r w:rsidR="00CB77E2" w:rsidRPr="00A6734F">
        <w:rPr>
          <w:sz w:val="24"/>
          <w:szCs w:val="24"/>
        </w:rPr>
        <w:t xml:space="preserve"> and politics taketh away.</w:t>
      </w:r>
    </w:p>
    <w:p w:rsidR="0022132E" w:rsidRPr="00A6734F" w:rsidRDefault="0022132E" w:rsidP="00E17FD8">
      <w:pPr>
        <w:spacing w:after="0" w:line="240" w:lineRule="auto"/>
        <w:rPr>
          <w:sz w:val="24"/>
          <w:szCs w:val="24"/>
        </w:rPr>
      </w:pPr>
    </w:p>
    <w:p w:rsidR="0022132E" w:rsidRPr="00A6734F" w:rsidRDefault="0022132E" w:rsidP="00E17FD8">
      <w:pPr>
        <w:spacing w:after="0" w:line="240" w:lineRule="auto"/>
        <w:rPr>
          <w:sz w:val="24"/>
          <w:szCs w:val="24"/>
        </w:rPr>
      </w:pPr>
      <w:r w:rsidRPr="00A6734F">
        <w:rPr>
          <w:sz w:val="24"/>
          <w:szCs w:val="24"/>
        </w:rPr>
        <w:t>Looking forward</w:t>
      </w:r>
      <w:r w:rsidR="000C5525" w:rsidRPr="00A6734F">
        <w:rPr>
          <w:sz w:val="24"/>
          <w:szCs w:val="24"/>
        </w:rPr>
        <w:t>,</w:t>
      </w:r>
      <w:r w:rsidRPr="00A6734F">
        <w:rPr>
          <w:sz w:val="24"/>
          <w:szCs w:val="24"/>
        </w:rPr>
        <w:t xml:space="preserve"> politics </w:t>
      </w:r>
      <w:r w:rsidR="00CB77E2" w:rsidRPr="00A6734F">
        <w:rPr>
          <w:sz w:val="24"/>
          <w:szCs w:val="24"/>
        </w:rPr>
        <w:t>will continue to create volatility</w:t>
      </w:r>
      <w:r w:rsidR="00583494" w:rsidRPr="00A6734F">
        <w:rPr>
          <w:sz w:val="24"/>
          <w:szCs w:val="24"/>
        </w:rPr>
        <w:t>.</w:t>
      </w:r>
      <w:r w:rsidR="00CB77E2" w:rsidRPr="00A6734F">
        <w:rPr>
          <w:sz w:val="24"/>
          <w:szCs w:val="24"/>
        </w:rPr>
        <w:t xml:space="preserve"> </w:t>
      </w:r>
      <w:r w:rsidR="00583494" w:rsidRPr="00A6734F">
        <w:rPr>
          <w:sz w:val="24"/>
          <w:szCs w:val="24"/>
        </w:rPr>
        <w:t>B</w:t>
      </w:r>
      <w:r w:rsidR="00CB77E2" w:rsidRPr="00A6734F">
        <w:rPr>
          <w:sz w:val="24"/>
          <w:szCs w:val="24"/>
        </w:rPr>
        <w:t>ut absent a change in the fundamentals</w:t>
      </w:r>
      <w:r w:rsidR="00583494" w:rsidRPr="00A6734F">
        <w:rPr>
          <w:sz w:val="24"/>
          <w:szCs w:val="24"/>
        </w:rPr>
        <w:t>,</w:t>
      </w:r>
      <w:r w:rsidR="00CB77E2" w:rsidRPr="00A6734F">
        <w:rPr>
          <w:sz w:val="24"/>
          <w:szCs w:val="24"/>
        </w:rPr>
        <w:t xml:space="preserve"> the </w:t>
      </w:r>
      <w:r w:rsidR="00583494" w:rsidRPr="00A6734F">
        <w:rPr>
          <w:sz w:val="24"/>
          <w:szCs w:val="24"/>
        </w:rPr>
        <w:t>turbulence</w:t>
      </w:r>
      <w:r w:rsidR="00CB77E2" w:rsidRPr="00A6734F">
        <w:rPr>
          <w:sz w:val="24"/>
          <w:szCs w:val="24"/>
        </w:rPr>
        <w:t xml:space="preserve"> should be short</w:t>
      </w:r>
      <w:r w:rsidR="00583494" w:rsidRPr="00A6734F">
        <w:rPr>
          <w:sz w:val="24"/>
          <w:szCs w:val="24"/>
        </w:rPr>
        <w:t xml:space="preserve"> </w:t>
      </w:r>
      <w:r w:rsidR="00CB77E2" w:rsidRPr="00A6734F">
        <w:rPr>
          <w:sz w:val="24"/>
          <w:szCs w:val="24"/>
        </w:rPr>
        <w:t>lived. With a potential government shutdown pending here in the U</w:t>
      </w:r>
      <w:r w:rsidR="00C90CAC" w:rsidRPr="00A6734F">
        <w:rPr>
          <w:sz w:val="24"/>
          <w:szCs w:val="24"/>
        </w:rPr>
        <w:t>.</w:t>
      </w:r>
      <w:r w:rsidR="00CB77E2" w:rsidRPr="00A6734F">
        <w:rPr>
          <w:sz w:val="24"/>
          <w:szCs w:val="24"/>
        </w:rPr>
        <w:t>S</w:t>
      </w:r>
      <w:r w:rsidR="00C90CAC" w:rsidRPr="00A6734F">
        <w:rPr>
          <w:sz w:val="24"/>
          <w:szCs w:val="24"/>
        </w:rPr>
        <w:t>.</w:t>
      </w:r>
      <w:r w:rsidR="00CB77E2" w:rsidRPr="00A6734F">
        <w:rPr>
          <w:sz w:val="24"/>
          <w:szCs w:val="24"/>
        </w:rPr>
        <w:t>, ongoing c</w:t>
      </w:r>
      <w:r w:rsidRPr="00A6734F">
        <w:rPr>
          <w:sz w:val="24"/>
          <w:szCs w:val="24"/>
        </w:rPr>
        <w:t xml:space="preserve">oncerns </w:t>
      </w:r>
      <w:r w:rsidR="00CB77E2" w:rsidRPr="00A6734F">
        <w:rPr>
          <w:sz w:val="24"/>
          <w:szCs w:val="24"/>
        </w:rPr>
        <w:t>in</w:t>
      </w:r>
      <w:r w:rsidRPr="00A6734F">
        <w:rPr>
          <w:sz w:val="24"/>
          <w:szCs w:val="24"/>
        </w:rPr>
        <w:t xml:space="preserve"> Europe </w:t>
      </w:r>
      <w:r w:rsidR="00CB77E2" w:rsidRPr="00A6734F">
        <w:rPr>
          <w:sz w:val="24"/>
          <w:szCs w:val="24"/>
        </w:rPr>
        <w:t>about Italy</w:t>
      </w:r>
      <w:r w:rsidR="007458FE" w:rsidRPr="00A6734F">
        <w:rPr>
          <w:sz w:val="24"/>
          <w:szCs w:val="24"/>
        </w:rPr>
        <w:t>,</w:t>
      </w:r>
      <w:r w:rsidR="00CB77E2" w:rsidRPr="00A6734F">
        <w:rPr>
          <w:sz w:val="24"/>
          <w:szCs w:val="24"/>
        </w:rPr>
        <w:t xml:space="preserve"> and the </w:t>
      </w:r>
      <w:r w:rsidRPr="00A6734F">
        <w:rPr>
          <w:sz w:val="24"/>
          <w:szCs w:val="24"/>
        </w:rPr>
        <w:t>Brexit negotiations</w:t>
      </w:r>
      <w:r w:rsidR="00CB77E2" w:rsidRPr="00A6734F">
        <w:rPr>
          <w:sz w:val="24"/>
          <w:szCs w:val="24"/>
        </w:rPr>
        <w:t>, we need to</w:t>
      </w:r>
      <w:r w:rsidR="008531CA" w:rsidRPr="00A6734F">
        <w:rPr>
          <w:sz w:val="24"/>
          <w:szCs w:val="24"/>
        </w:rPr>
        <w:t xml:space="preserve"> pay attention but also be mindful that political volatility usually passes quickly</w:t>
      </w:r>
      <w:r w:rsidR="00CB77E2" w:rsidRPr="00A6734F">
        <w:rPr>
          <w:sz w:val="24"/>
          <w:szCs w:val="24"/>
        </w:rPr>
        <w:t>.</w:t>
      </w:r>
    </w:p>
    <w:p w:rsidR="0022132E" w:rsidRPr="00A6734F" w:rsidRDefault="0022132E" w:rsidP="00E17FD8">
      <w:pPr>
        <w:spacing w:after="0" w:line="240" w:lineRule="auto"/>
        <w:rPr>
          <w:sz w:val="24"/>
          <w:szCs w:val="24"/>
        </w:rPr>
      </w:pPr>
    </w:p>
    <w:p w:rsidR="0022132E" w:rsidRPr="009A10CA" w:rsidRDefault="00CB77E2" w:rsidP="00E17FD8">
      <w:pPr>
        <w:spacing w:after="0" w:line="240" w:lineRule="auto"/>
        <w:rPr>
          <w:color w:val="419B03"/>
          <w:sz w:val="24"/>
          <w:szCs w:val="24"/>
        </w:rPr>
      </w:pPr>
      <w:r w:rsidRPr="009A10CA">
        <w:rPr>
          <w:b/>
          <w:color w:val="419B03"/>
          <w:sz w:val="24"/>
          <w:szCs w:val="24"/>
        </w:rPr>
        <w:t xml:space="preserve">Markets volatile, but fundamentals </w:t>
      </w:r>
      <w:r w:rsidR="0022132E" w:rsidRPr="009A10CA">
        <w:rPr>
          <w:b/>
          <w:color w:val="419B03"/>
          <w:sz w:val="24"/>
          <w:szCs w:val="24"/>
        </w:rPr>
        <w:t>remain s</w:t>
      </w:r>
      <w:r w:rsidRPr="009A10CA">
        <w:rPr>
          <w:b/>
          <w:color w:val="419B03"/>
          <w:sz w:val="24"/>
          <w:szCs w:val="24"/>
        </w:rPr>
        <w:t>olid</w:t>
      </w:r>
    </w:p>
    <w:p w:rsidR="001476D0" w:rsidRPr="00A6734F" w:rsidRDefault="000930CA" w:rsidP="00E17FD8">
      <w:pPr>
        <w:spacing w:after="0" w:line="240" w:lineRule="auto"/>
        <w:rPr>
          <w:sz w:val="24"/>
          <w:szCs w:val="24"/>
        </w:rPr>
      </w:pPr>
      <w:r w:rsidRPr="00A6734F">
        <w:rPr>
          <w:sz w:val="24"/>
          <w:szCs w:val="24"/>
        </w:rPr>
        <w:t>P</w:t>
      </w:r>
      <w:r w:rsidR="0022132E" w:rsidRPr="00A6734F">
        <w:rPr>
          <w:sz w:val="24"/>
          <w:szCs w:val="24"/>
        </w:rPr>
        <w:t xml:space="preserve">olitical risks </w:t>
      </w:r>
      <w:r w:rsidR="00702AF2" w:rsidRPr="00A6734F">
        <w:rPr>
          <w:sz w:val="24"/>
          <w:szCs w:val="24"/>
        </w:rPr>
        <w:t>will</w:t>
      </w:r>
      <w:r w:rsidR="0022132E" w:rsidRPr="00A6734F">
        <w:rPr>
          <w:sz w:val="24"/>
          <w:szCs w:val="24"/>
        </w:rPr>
        <w:t xml:space="preserve"> likely </w:t>
      </w:r>
      <w:r w:rsidR="00702AF2" w:rsidRPr="00A6734F">
        <w:rPr>
          <w:sz w:val="24"/>
          <w:szCs w:val="24"/>
        </w:rPr>
        <w:t xml:space="preserve">continue </w:t>
      </w:r>
      <w:r w:rsidR="0022132E" w:rsidRPr="00A6734F">
        <w:rPr>
          <w:sz w:val="24"/>
          <w:szCs w:val="24"/>
        </w:rPr>
        <w:t xml:space="preserve">to </w:t>
      </w:r>
      <w:r w:rsidR="00D92EE7" w:rsidRPr="00A6734F">
        <w:rPr>
          <w:sz w:val="24"/>
          <w:szCs w:val="24"/>
        </w:rPr>
        <w:t>affect</w:t>
      </w:r>
      <w:r w:rsidR="0022132E" w:rsidRPr="00A6734F">
        <w:rPr>
          <w:sz w:val="24"/>
          <w:szCs w:val="24"/>
        </w:rPr>
        <w:t xml:space="preserve"> markets</w:t>
      </w:r>
      <w:r w:rsidRPr="00A6734F">
        <w:rPr>
          <w:sz w:val="24"/>
          <w:szCs w:val="24"/>
        </w:rPr>
        <w:t>.</w:t>
      </w:r>
      <w:r w:rsidR="0022132E" w:rsidRPr="00A6734F">
        <w:rPr>
          <w:sz w:val="24"/>
          <w:szCs w:val="24"/>
        </w:rPr>
        <w:t xml:space="preserve"> </w:t>
      </w:r>
      <w:r w:rsidRPr="00A6734F">
        <w:rPr>
          <w:sz w:val="24"/>
          <w:szCs w:val="24"/>
        </w:rPr>
        <w:t>But t</w:t>
      </w:r>
      <w:r w:rsidR="0022132E" w:rsidRPr="00A6734F">
        <w:rPr>
          <w:sz w:val="24"/>
          <w:szCs w:val="24"/>
        </w:rPr>
        <w:t xml:space="preserve">he good news is that on the whole, the economy appears to be strong enough to weather the storm. The economy continues to expand at a healthy clip, driven by strong consumer spending. </w:t>
      </w:r>
      <w:r w:rsidR="006B055C" w:rsidRPr="00A6734F">
        <w:rPr>
          <w:sz w:val="24"/>
          <w:szCs w:val="24"/>
        </w:rPr>
        <w:t>Plus, t</w:t>
      </w:r>
      <w:r w:rsidR="0022132E" w:rsidRPr="00A6734F">
        <w:rPr>
          <w:sz w:val="24"/>
          <w:szCs w:val="24"/>
        </w:rPr>
        <w:t xml:space="preserve">he rebound from the </w:t>
      </w:r>
      <w:r w:rsidR="006B055C" w:rsidRPr="00A6734F">
        <w:rPr>
          <w:sz w:val="24"/>
          <w:szCs w:val="24"/>
        </w:rPr>
        <w:t xml:space="preserve">September </w:t>
      </w:r>
      <w:r w:rsidR="0022132E" w:rsidRPr="00A6734F">
        <w:rPr>
          <w:sz w:val="24"/>
          <w:szCs w:val="24"/>
        </w:rPr>
        <w:t xml:space="preserve">slowdown is encouraging </w:t>
      </w:r>
      <w:r w:rsidR="00BD6A6A" w:rsidRPr="00A6734F">
        <w:rPr>
          <w:sz w:val="24"/>
          <w:szCs w:val="24"/>
        </w:rPr>
        <w:t>for fourth</w:t>
      </w:r>
      <w:r w:rsidR="00D92EE7" w:rsidRPr="00A6734F">
        <w:rPr>
          <w:sz w:val="24"/>
          <w:szCs w:val="24"/>
        </w:rPr>
        <w:t>-</w:t>
      </w:r>
      <w:r w:rsidR="00BD6A6A" w:rsidRPr="00A6734F">
        <w:rPr>
          <w:sz w:val="24"/>
          <w:szCs w:val="24"/>
        </w:rPr>
        <w:t xml:space="preserve">quarter growth. </w:t>
      </w:r>
      <w:r w:rsidR="00B3321B" w:rsidRPr="00A6734F">
        <w:rPr>
          <w:sz w:val="24"/>
          <w:szCs w:val="24"/>
        </w:rPr>
        <w:t>C</w:t>
      </w:r>
      <w:r w:rsidR="00BD6A6A" w:rsidRPr="00A6734F">
        <w:rPr>
          <w:sz w:val="24"/>
          <w:szCs w:val="24"/>
        </w:rPr>
        <w:t xml:space="preserve">onfidence has declined, </w:t>
      </w:r>
      <w:r w:rsidR="00B3321B" w:rsidRPr="00A6734F">
        <w:rPr>
          <w:sz w:val="24"/>
          <w:szCs w:val="24"/>
        </w:rPr>
        <w:t xml:space="preserve">but </w:t>
      </w:r>
      <w:r w:rsidR="00BD6A6A" w:rsidRPr="00A6734F">
        <w:rPr>
          <w:sz w:val="24"/>
          <w:szCs w:val="24"/>
        </w:rPr>
        <w:t xml:space="preserve">it remains near multiyear highs and appears to be resilient. </w:t>
      </w:r>
    </w:p>
    <w:p w:rsidR="0022132E" w:rsidRPr="00A6734F" w:rsidRDefault="0022132E" w:rsidP="00E17FD8">
      <w:pPr>
        <w:spacing w:after="0" w:line="240" w:lineRule="auto"/>
        <w:rPr>
          <w:sz w:val="24"/>
          <w:szCs w:val="24"/>
        </w:rPr>
      </w:pPr>
    </w:p>
    <w:p w:rsidR="0022132E" w:rsidRPr="00A6734F" w:rsidRDefault="00BD6A6A" w:rsidP="00E17FD8">
      <w:pPr>
        <w:spacing w:after="0" w:line="240" w:lineRule="auto"/>
        <w:rPr>
          <w:sz w:val="24"/>
          <w:szCs w:val="24"/>
        </w:rPr>
      </w:pPr>
      <w:r w:rsidRPr="00A6734F">
        <w:rPr>
          <w:sz w:val="24"/>
          <w:szCs w:val="24"/>
        </w:rPr>
        <w:t>As we’ve seen</w:t>
      </w:r>
      <w:r w:rsidR="003F33C2" w:rsidRPr="00A6734F">
        <w:rPr>
          <w:sz w:val="24"/>
          <w:szCs w:val="24"/>
        </w:rPr>
        <w:t>,</w:t>
      </w:r>
      <w:r w:rsidRPr="00A6734F">
        <w:rPr>
          <w:sz w:val="24"/>
          <w:szCs w:val="24"/>
        </w:rPr>
        <w:t xml:space="preserve"> </w:t>
      </w:r>
      <w:r w:rsidR="00B3321B" w:rsidRPr="00A6734F">
        <w:rPr>
          <w:sz w:val="24"/>
          <w:szCs w:val="24"/>
        </w:rPr>
        <w:t>although</w:t>
      </w:r>
      <w:r w:rsidRPr="00A6734F">
        <w:rPr>
          <w:sz w:val="24"/>
          <w:szCs w:val="24"/>
        </w:rPr>
        <w:t xml:space="preserve"> the economy is doing well, markets can experience bouts of </w:t>
      </w:r>
      <w:r w:rsidR="00291C69" w:rsidRPr="00A6734F">
        <w:rPr>
          <w:sz w:val="24"/>
          <w:szCs w:val="24"/>
        </w:rPr>
        <w:t>turbulence</w:t>
      </w:r>
      <w:r w:rsidRPr="00A6734F">
        <w:rPr>
          <w:sz w:val="24"/>
          <w:szCs w:val="24"/>
        </w:rPr>
        <w:t xml:space="preserve">. The correction we saw in November is a perfect example of this short-term volatility. </w:t>
      </w:r>
      <w:r w:rsidR="00B3321B" w:rsidRPr="00A6734F">
        <w:rPr>
          <w:sz w:val="24"/>
          <w:szCs w:val="24"/>
        </w:rPr>
        <w:t>Of course,</w:t>
      </w:r>
      <w:r w:rsidRPr="00A6734F">
        <w:rPr>
          <w:sz w:val="24"/>
          <w:szCs w:val="24"/>
        </w:rPr>
        <w:t xml:space="preserve"> these periods can be painful for investors in the moment</w:t>
      </w:r>
      <w:r w:rsidR="00B3321B" w:rsidRPr="00A6734F">
        <w:rPr>
          <w:sz w:val="24"/>
          <w:szCs w:val="24"/>
        </w:rPr>
        <w:t>.</w:t>
      </w:r>
      <w:r w:rsidRPr="00A6734F">
        <w:rPr>
          <w:sz w:val="24"/>
          <w:szCs w:val="24"/>
        </w:rPr>
        <w:t xml:space="preserve"> </w:t>
      </w:r>
      <w:r w:rsidR="00B3321B" w:rsidRPr="00A6734F">
        <w:rPr>
          <w:sz w:val="24"/>
          <w:szCs w:val="24"/>
        </w:rPr>
        <w:t>O</w:t>
      </w:r>
      <w:r w:rsidRPr="00A6734F">
        <w:rPr>
          <w:sz w:val="24"/>
          <w:szCs w:val="24"/>
        </w:rPr>
        <w:t>ver the long</w:t>
      </w:r>
      <w:r w:rsidR="00B3321B" w:rsidRPr="00A6734F">
        <w:rPr>
          <w:sz w:val="24"/>
          <w:szCs w:val="24"/>
        </w:rPr>
        <w:t xml:space="preserve"> </w:t>
      </w:r>
      <w:r w:rsidRPr="00A6734F">
        <w:rPr>
          <w:sz w:val="24"/>
          <w:szCs w:val="24"/>
        </w:rPr>
        <w:t>term</w:t>
      </w:r>
      <w:r w:rsidR="00B3321B" w:rsidRPr="00A6734F">
        <w:rPr>
          <w:sz w:val="24"/>
          <w:szCs w:val="24"/>
        </w:rPr>
        <w:t>, however,</w:t>
      </w:r>
      <w:r w:rsidRPr="00A6734F">
        <w:rPr>
          <w:sz w:val="24"/>
          <w:szCs w:val="24"/>
        </w:rPr>
        <w:t xml:space="preserve"> they are </w:t>
      </w:r>
      <w:r w:rsidR="00FA25BF" w:rsidRPr="00A6734F">
        <w:rPr>
          <w:sz w:val="24"/>
          <w:szCs w:val="24"/>
        </w:rPr>
        <w:t xml:space="preserve">a </w:t>
      </w:r>
      <w:r w:rsidRPr="00A6734F">
        <w:rPr>
          <w:sz w:val="24"/>
          <w:szCs w:val="24"/>
        </w:rPr>
        <w:t>healthy and expected function of the market.</w:t>
      </w:r>
      <w:r w:rsidR="00F80AD5" w:rsidRPr="00A6734F">
        <w:rPr>
          <w:sz w:val="24"/>
          <w:szCs w:val="24"/>
        </w:rPr>
        <w:t xml:space="preserve"> </w:t>
      </w:r>
      <w:r w:rsidR="00FA25BF" w:rsidRPr="00A6734F">
        <w:rPr>
          <w:sz w:val="24"/>
          <w:szCs w:val="24"/>
        </w:rPr>
        <w:t xml:space="preserve">As always, </w:t>
      </w:r>
      <w:r w:rsidR="00070D7D" w:rsidRPr="00A6734F">
        <w:rPr>
          <w:sz w:val="24"/>
          <w:szCs w:val="24"/>
        </w:rPr>
        <w:t>a</w:t>
      </w:r>
      <w:r w:rsidRPr="00A6734F">
        <w:rPr>
          <w:sz w:val="24"/>
          <w:szCs w:val="24"/>
        </w:rPr>
        <w:t xml:space="preserve"> well-diversified portfolio matche</w:t>
      </w:r>
      <w:r w:rsidR="00302432" w:rsidRPr="00A6734F">
        <w:rPr>
          <w:sz w:val="24"/>
          <w:szCs w:val="24"/>
        </w:rPr>
        <w:t>d</w:t>
      </w:r>
      <w:r w:rsidRPr="00A6734F">
        <w:rPr>
          <w:sz w:val="24"/>
          <w:szCs w:val="24"/>
        </w:rPr>
        <w:t xml:space="preserve"> </w:t>
      </w:r>
      <w:r w:rsidR="00302432" w:rsidRPr="00A6734F">
        <w:rPr>
          <w:sz w:val="24"/>
          <w:szCs w:val="24"/>
        </w:rPr>
        <w:t xml:space="preserve">with an investor’s time horizon </w:t>
      </w:r>
      <w:r w:rsidRPr="00A6734F">
        <w:rPr>
          <w:sz w:val="24"/>
          <w:szCs w:val="24"/>
        </w:rPr>
        <w:t>is the best way to</w:t>
      </w:r>
      <w:r w:rsidR="00CB77E2" w:rsidRPr="00A6734F">
        <w:rPr>
          <w:sz w:val="24"/>
          <w:szCs w:val="24"/>
        </w:rPr>
        <w:t xml:space="preserve"> ride out any volatility and</w:t>
      </w:r>
      <w:r w:rsidRPr="00A6734F">
        <w:rPr>
          <w:sz w:val="24"/>
          <w:szCs w:val="24"/>
        </w:rPr>
        <w:t xml:space="preserve"> </w:t>
      </w:r>
      <w:r w:rsidR="00EF1D59" w:rsidRPr="00A6734F">
        <w:rPr>
          <w:sz w:val="24"/>
          <w:szCs w:val="24"/>
        </w:rPr>
        <w:t>reach</w:t>
      </w:r>
      <w:r w:rsidRPr="00A6734F">
        <w:rPr>
          <w:sz w:val="24"/>
          <w:szCs w:val="24"/>
        </w:rPr>
        <w:t xml:space="preserve"> </w:t>
      </w:r>
      <w:r w:rsidR="00EF1D59" w:rsidRPr="00A6734F">
        <w:rPr>
          <w:sz w:val="24"/>
          <w:szCs w:val="24"/>
        </w:rPr>
        <w:t xml:space="preserve">financial </w:t>
      </w:r>
      <w:r w:rsidRPr="00A6734F">
        <w:rPr>
          <w:sz w:val="24"/>
          <w:szCs w:val="24"/>
        </w:rPr>
        <w:t xml:space="preserve">goals. </w:t>
      </w:r>
    </w:p>
    <w:p w:rsidR="0022132E" w:rsidRPr="00A6734F" w:rsidRDefault="0022132E" w:rsidP="00E17FD8">
      <w:pPr>
        <w:spacing w:after="0" w:line="240" w:lineRule="auto"/>
        <w:rPr>
          <w:sz w:val="24"/>
          <w:szCs w:val="24"/>
        </w:rPr>
      </w:pPr>
    </w:p>
    <w:p w:rsidR="003F33C2" w:rsidRPr="00A6734F" w:rsidRDefault="003F33C2" w:rsidP="003F33C2">
      <w:pPr>
        <w:spacing w:after="0" w:line="240" w:lineRule="auto"/>
        <w:rPr>
          <w:i/>
          <w:iCs/>
          <w:sz w:val="20"/>
          <w:szCs w:val="20"/>
        </w:rPr>
      </w:pPr>
      <w:r w:rsidRPr="00A6734F">
        <w:rPr>
          <w:i/>
          <w:iCs/>
          <w:sz w:val="20"/>
          <w:szCs w:val="20"/>
        </w:rPr>
        <w:lastRenderedPageBreak/>
        <w:t xml:space="preserve">All information according to Bloomberg, unless stated otherwise. </w:t>
      </w:r>
    </w:p>
    <w:p w:rsidR="003F33C2" w:rsidRPr="00A6734F" w:rsidRDefault="003F33C2" w:rsidP="003F33C2">
      <w:pPr>
        <w:spacing w:after="0" w:line="240" w:lineRule="auto"/>
        <w:rPr>
          <w:i/>
          <w:iCs/>
          <w:sz w:val="20"/>
          <w:szCs w:val="20"/>
        </w:rPr>
      </w:pPr>
    </w:p>
    <w:p w:rsidR="003F33C2" w:rsidRPr="00A6734F" w:rsidRDefault="003F33C2" w:rsidP="003F33C2">
      <w:pPr>
        <w:spacing w:after="0" w:line="240" w:lineRule="auto"/>
        <w:rPr>
          <w:i/>
          <w:iCs/>
          <w:sz w:val="20"/>
          <w:szCs w:val="20"/>
        </w:rPr>
      </w:pPr>
      <w:r w:rsidRPr="00A6734F">
        <w:rPr>
          <w:b/>
          <w:bCs/>
          <w:i/>
          <w:iCs/>
          <w:sz w:val="20"/>
          <w:szCs w:val="20"/>
        </w:rPr>
        <w:t>Disclosure:</w:t>
      </w:r>
      <w:r w:rsidRPr="00A6734F">
        <w:rPr>
          <w:i/>
          <w:sz w:val="20"/>
          <w:szCs w:val="20"/>
        </w:rPr>
        <w:t xml:space="preserve"> </w:t>
      </w:r>
      <w:r w:rsidRPr="00A6734F">
        <w:rPr>
          <w:i/>
          <w:iCs/>
          <w:sz w:val="20"/>
          <w:szCs w:val="20"/>
        </w:rPr>
        <w:t xml:space="preserve">Certain sections of this commentary contain forward-looking statements based on our reasonable expectations, estimates, projections, and assumptions. Forward-looking statements are not guarantees of future performance and involve certain risks and uncertainties, which are difficult to predict. Past performance is not indicative of future results. Diversification does not assure a profit or protect against loss in declining markets. All indices are unmanaged and investors cannot invest directly into an index. The Dow Jones Industrial Average is a price-weighted average of 30 actively traded blue-chip stocks. The S&amp;P 500 Index is a broad-based measurement of changes in stock market conditions based on the average performance of 500 widely held common stocks. </w:t>
      </w:r>
      <w:r w:rsidRPr="00A6734F">
        <w:rPr>
          <w:i/>
          <w:sz w:val="20"/>
          <w:szCs w:val="20"/>
        </w:rPr>
        <w:t>The Nasdaq Composite Index measures the performance of all issues listed in the Nasdaq Stock Market, except for rights, warrants, units, and convertible debentures.</w:t>
      </w:r>
      <w:r w:rsidRPr="00A6734F">
        <w:rPr>
          <w:i/>
          <w:iCs/>
          <w:sz w:val="20"/>
          <w:szCs w:val="20"/>
        </w:rPr>
        <w:t xml:space="preserve"> The MSCI EAFE Index is a float-adjusted market capitalization index designed to measure developed market equity performance, excluding the U.S. and Canada. The MSCI Emerging Markets Index is a market capitalization-weighted index composed of companies representative of the market structure of 26 emerging market countries in Europe, Latin America, and the Pacific Basin. It </w:t>
      </w:r>
      <w:r w:rsidRPr="00A6734F">
        <w:rPr>
          <w:i/>
          <w:sz w:val="20"/>
          <w:szCs w:val="20"/>
        </w:rPr>
        <w:t xml:space="preserve">excludes closed markets and those shares in otherwise free markets that are not purchasable by foreigners. </w:t>
      </w:r>
      <w:r w:rsidRPr="00A6734F">
        <w:rPr>
          <w:i/>
          <w:iCs/>
          <w:sz w:val="20"/>
          <w:szCs w:val="20"/>
        </w:rPr>
        <w:t xml:space="preserve">The Bloomberg Barclays Aggregate Bond Index is an unmanaged market value-weighted index representing securities that are SEC-registered, taxable, and dollar-denominated. It covers the U.S. investment-grade fixed-rate bond market, with index components for a combination of the Bloomberg Barclays government and corporate securities, mortgage-backed pass-through securities, and asset-backed securities. The Bloomberg Barclays U.S. Corporate High Yield Index covers the USD-denominated, non-investment-grade, fixed-rate, taxable corporate bond market. Securities are classified as high-yield if the middle rating of Moody’s, Fitch, and S&amp;P is Ba1/BB+/BB+ or below. </w:t>
      </w:r>
    </w:p>
    <w:p w:rsidR="003F33C2" w:rsidRPr="00A6734F" w:rsidRDefault="003F33C2" w:rsidP="003F33C2">
      <w:pPr>
        <w:spacing w:after="0" w:line="240" w:lineRule="auto"/>
        <w:ind w:left="-720" w:firstLine="720"/>
        <w:jc w:val="center"/>
        <w:rPr>
          <w:b/>
          <w:sz w:val="20"/>
          <w:szCs w:val="20"/>
        </w:rPr>
      </w:pPr>
    </w:p>
    <w:p w:rsidR="003F33C2" w:rsidRPr="00A6734F" w:rsidRDefault="003F33C2" w:rsidP="003F33C2">
      <w:pPr>
        <w:spacing w:after="0" w:line="240" w:lineRule="auto"/>
        <w:ind w:left="-720" w:firstLine="720"/>
        <w:jc w:val="center"/>
        <w:rPr>
          <w:b/>
          <w:sz w:val="20"/>
          <w:szCs w:val="20"/>
        </w:rPr>
      </w:pPr>
      <w:r w:rsidRPr="00A6734F">
        <w:rPr>
          <w:b/>
          <w:sz w:val="20"/>
          <w:szCs w:val="20"/>
        </w:rPr>
        <w:t>###</w:t>
      </w:r>
    </w:p>
    <w:p w:rsidR="003F33C2" w:rsidRPr="00A6734F" w:rsidRDefault="003F33C2" w:rsidP="003F33C2">
      <w:pPr>
        <w:spacing w:after="0" w:line="240" w:lineRule="auto"/>
        <w:ind w:left="-720" w:firstLine="720"/>
        <w:jc w:val="center"/>
        <w:rPr>
          <w:b/>
          <w:sz w:val="20"/>
          <w:szCs w:val="20"/>
        </w:rPr>
      </w:pPr>
    </w:p>
    <w:p w:rsidR="003F33C2" w:rsidRPr="00A6734F" w:rsidRDefault="001F1C3F" w:rsidP="003F33C2">
      <w:pPr>
        <w:keepNext/>
        <w:spacing w:after="0" w:line="240" w:lineRule="auto"/>
        <w:rPr>
          <w:sz w:val="20"/>
          <w:szCs w:val="20"/>
        </w:rPr>
      </w:pPr>
      <w:r w:rsidRPr="00A6734F">
        <w:rPr>
          <w:sz w:val="20"/>
          <w:szCs w:val="20"/>
        </w:rPr>
        <w:t xml:space="preserve">Marianna Goldenberg </w:t>
      </w:r>
      <w:r w:rsidR="003F33C2" w:rsidRPr="00A6734F">
        <w:rPr>
          <w:sz w:val="20"/>
          <w:szCs w:val="20"/>
        </w:rPr>
        <w:t xml:space="preserve">is a financial consultant located at </w:t>
      </w:r>
      <w:r w:rsidRPr="00A6734F">
        <w:rPr>
          <w:sz w:val="20"/>
          <w:szCs w:val="20"/>
        </w:rPr>
        <w:t>CURO Wealth Management, 1705 Langhorne Newtown Road, Langhorne, PA 19067</w:t>
      </w:r>
      <w:r w:rsidR="003F33C2" w:rsidRPr="00A6734F">
        <w:rPr>
          <w:sz w:val="20"/>
          <w:szCs w:val="20"/>
        </w:rPr>
        <w:t xml:space="preserve">. </w:t>
      </w:r>
      <w:r w:rsidRPr="00A6734F">
        <w:rPr>
          <w:sz w:val="20"/>
          <w:szCs w:val="20"/>
        </w:rPr>
        <w:t>She</w:t>
      </w:r>
      <w:r w:rsidR="003F33C2" w:rsidRPr="00A6734F">
        <w:rPr>
          <w:sz w:val="20"/>
          <w:szCs w:val="20"/>
        </w:rPr>
        <w:t xml:space="preserve"> offers securities as a Registered Representative of Commonwealth Financial Network</w:t>
      </w:r>
      <w:r w:rsidR="003F33C2" w:rsidRPr="00A6734F">
        <w:rPr>
          <w:sz w:val="20"/>
          <w:szCs w:val="20"/>
          <w:vertAlign w:val="superscript"/>
        </w:rPr>
        <w:t>®</w:t>
      </w:r>
      <w:r w:rsidR="00A6734F" w:rsidRPr="00A6734F">
        <w:rPr>
          <w:sz w:val="20"/>
          <w:szCs w:val="20"/>
        </w:rPr>
        <w:t>, Member FINRA/SIPC. Marianna</w:t>
      </w:r>
      <w:r w:rsidR="003F33C2" w:rsidRPr="00A6734F">
        <w:rPr>
          <w:sz w:val="20"/>
          <w:szCs w:val="20"/>
        </w:rPr>
        <w:t xml:space="preserve"> can be reached at </w:t>
      </w:r>
      <w:r w:rsidR="00A6734F" w:rsidRPr="00A6734F">
        <w:rPr>
          <w:sz w:val="20"/>
          <w:szCs w:val="20"/>
        </w:rPr>
        <w:t>215-486-8350 or at marianna@curowm.com</w:t>
      </w:r>
      <w:r w:rsidR="003F33C2" w:rsidRPr="00A6734F">
        <w:rPr>
          <w:sz w:val="20"/>
          <w:szCs w:val="20"/>
        </w:rPr>
        <w:t>.</w:t>
      </w:r>
    </w:p>
    <w:p w:rsidR="003F33C2" w:rsidRPr="00A6734F" w:rsidRDefault="003F33C2" w:rsidP="003F33C2">
      <w:pPr>
        <w:keepNext/>
        <w:spacing w:after="0" w:line="240" w:lineRule="auto"/>
        <w:rPr>
          <w:b/>
          <w:bCs/>
          <w:sz w:val="20"/>
          <w:szCs w:val="20"/>
        </w:rPr>
      </w:pPr>
    </w:p>
    <w:p w:rsidR="003F33C2" w:rsidRPr="00A6734F" w:rsidRDefault="003F33C2" w:rsidP="003F33C2">
      <w:pPr>
        <w:spacing w:after="0" w:line="240" w:lineRule="auto"/>
        <w:rPr>
          <w:sz w:val="20"/>
          <w:szCs w:val="20"/>
        </w:rPr>
      </w:pPr>
      <w:r w:rsidRPr="00A6734F">
        <w:rPr>
          <w:sz w:val="20"/>
          <w:szCs w:val="20"/>
        </w:rPr>
        <w:t>Authored by Brad McMillan, CFA</w:t>
      </w:r>
      <w:r w:rsidRPr="00A6734F">
        <w:rPr>
          <w:sz w:val="20"/>
          <w:szCs w:val="20"/>
          <w:vertAlign w:val="superscript"/>
        </w:rPr>
        <w:t>®</w:t>
      </w:r>
      <w:r w:rsidRPr="00A6734F">
        <w:rPr>
          <w:sz w:val="20"/>
          <w:szCs w:val="20"/>
        </w:rPr>
        <w:t>, CAIA, MAI, managing principal, chief investment officer, and Sam Millette, fixed income analyst, at Commonwealth Financial Network</w:t>
      </w:r>
      <w:r w:rsidRPr="00A6734F">
        <w:rPr>
          <w:b/>
          <w:sz w:val="20"/>
          <w:szCs w:val="20"/>
          <w:vertAlign w:val="superscript"/>
        </w:rPr>
        <w:t>®</w:t>
      </w:r>
      <w:r w:rsidRPr="00A6734F">
        <w:rPr>
          <w:sz w:val="20"/>
          <w:szCs w:val="20"/>
        </w:rPr>
        <w:t>.</w:t>
      </w:r>
    </w:p>
    <w:p w:rsidR="003F33C2" w:rsidRPr="00A6734F" w:rsidRDefault="003F33C2" w:rsidP="003F33C2">
      <w:pPr>
        <w:spacing w:after="0" w:line="240" w:lineRule="auto"/>
        <w:rPr>
          <w:sz w:val="20"/>
          <w:szCs w:val="20"/>
        </w:rPr>
      </w:pPr>
    </w:p>
    <w:p w:rsidR="00E877D9" w:rsidRPr="00A6734F" w:rsidRDefault="003F33C2" w:rsidP="003F33C2">
      <w:pPr>
        <w:spacing w:after="0" w:line="240" w:lineRule="auto"/>
        <w:ind w:left="-720" w:firstLine="720"/>
        <w:rPr>
          <w:sz w:val="20"/>
          <w:szCs w:val="20"/>
        </w:rPr>
      </w:pPr>
      <w:r w:rsidRPr="00A6734F">
        <w:rPr>
          <w:b/>
          <w:sz w:val="20"/>
          <w:szCs w:val="20"/>
        </w:rPr>
        <w:t>© 2018 Commonwealth Financial Network</w:t>
      </w:r>
      <w:r w:rsidRPr="00A6734F">
        <w:rPr>
          <w:b/>
          <w:sz w:val="20"/>
          <w:szCs w:val="20"/>
          <w:vertAlign w:val="superscript"/>
        </w:rPr>
        <w:t>®</w:t>
      </w:r>
      <w:bookmarkStart w:id="0" w:name="_GoBack"/>
      <w:bookmarkEnd w:id="0"/>
    </w:p>
    <w:sectPr w:rsidR="00E877D9" w:rsidRPr="00A67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877D9"/>
    <w:rsid w:val="00025596"/>
    <w:rsid w:val="00056F34"/>
    <w:rsid w:val="0006163A"/>
    <w:rsid w:val="00070D7D"/>
    <w:rsid w:val="00074287"/>
    <w:rsid w:val="000913AF"/>
    <w:rsid w:val="000930CA"/>
    <w:rsid w:val="000940B4"/>
    <w:rsid w:val="000C5525"/>
    <w:rsid w:val="0010014F"/>
    <w:rsid w:val="00134E9D"/>
    <w:rsid w:val="001451DD"/>
    <w:rsid w:val="001476D0"/>
    <w:rsid w:val="00151053"/>
    <w:rsid w:val="00154ED1"/>
    <w:rsid w:val="0016794A"/>
    <w:rsid w:val="00184D47"/>
    <w:rsid w:val="001A5BDB"/>
    <w:rsid w:val="001C34AA"/>
    <w:rsid w:val="001C7B81"/>
    <w:rsid w:val="001D1A01"/>
    <w:rsid w:val="001F1C3F"/>
    <w:rsid w:val="0022132E"/>
    <w:rsid w:val="002449B7"/>
    <w:rsid w:val="00277207"/>
    <w:rsid w:val="00291C69"/>
    <w:rsid w:val="00296A81"/>
    <w:rsid w:val="002C5508"/>
    <w:rsid w:val="002F416A"/>
    <w:rsid w:val="00302432"/>
    <w:rsid w:val="00305DFE"/>
    <w:rsid w:val="003155C2"/>
    <w:rsid w:val="00343065"/>
    <w:rsid w:val="00345B53"/>
    <w:rsid w:val="00356F3C"/>
    <w:rsid w:val="00357745"/>
    <w:rsid w:val="003719D7"/>
    <w:rsid w:val="003C04B4"/>
    <w:rsid w:val="003F2BEF"/>
    <w:rsid w:val="003F33C2"/>
    <w:rsid w:val="00430998"/>
    <w:rsid w:val="00450E44"/>
    <w:rsid w:val="0046424F"/>
    <w:rsid w:val="004B0147"/>
    <w:rsid w:val="00560128"/>
    <w:rsid w:val="00574684"/>
    <w:rsid w:val="00580337"/>
    <w:rsid w:val="00583494"/>
    <w:rsid w:val="005D2C25"/>
    <w:rsid w:val="005D5DFD"/>
    <w:rsid w:val="00607AA4"/>
    <w:rsid w:val="006231FB"/>
    <w:rsid w:val="006320D7"/>
    <w:rsid w:val="00646420"/>
    <w:rsid w:val="00657F9E"/>
    <w:rsid w:val="006654ED"/>
    <w:rsid w:val="0069037C"/>
    <w:rsid w:val="006B055C"/>
    <w:rsid w:val="006C21CF"/>
    <w:rsid w:val="006C39A2"/>
    <w:rsid w:val="006C531C"/>
    <w:rsid w:val="006F0FAC"/>
    <w:rsid w:val="006F5AFE"/>
    <w:rsid w:val="00702AF2"/>
    <w:rsid w:val="00740238"/>
    <w:rsid w:val="007458FE"/>
    <w:rsid w:val="0075277D"/>
    <w:rsid w:val="007645B4"/>
    <w:rsid w:val="00765433"/>
    <w:rsid w:val="007736EC"/>
    <w:rsid w:val="008018C2"/>
    <w:rsid w:val="00810E14"/>
    <w:rsid w:val="00824579"/>
    <w:rsid w:val="0083416C"/>
    <w:rsid w:val="0085203E"/>
    <w:rsid w:val="008531CA"/>
    <w:rsid w:val="0087418A"/>
    <w:rsid w:val="008749E7"/>
    <w:rsid w:val="008A0656"/>
    <w:rsid w:val="008E5FE2"/>
    <w:rsid w:val="009036EF"/>
    <w:rsid w:val="00907C81"/>
    <w:rsid w:val="00925114"/>
    <w:rsid w:val="009521E2"/>
    <w:rsid w:val="00957EBF"/>
    <w:rsid w:val="00975390"/>
    <w:rsid w:val="00995E5C"/>
    <w:rsid w:val="009A10CA"/>
    <w:rsid w:val="009D2209"/>
    <w:rsid w:val="009D4463"/>
    <w:rsid w:val="009F1406"/>
    <w:rsid w:val="009F6A41"/>
    <w:rsid w:val="00A27ADF"/>
    <w:rsid w:val="00A32845"/>
    <w:rsid w:val="00A3730C"/>
    <w:rsid w:val="00A66AF0"/>
    <w:rsid w:val="00A6734F"/>
    <w:rsid w:val="00A93917"/>
    <w:rsid w:val="00AA0ED2"/>
    <w:rsid w:val="00AB1DD8"/>
    <w:rsid w:val="00AC4B28"/>
    <w:rsid w:val="00AC630C"/>
    <w:rsid w:val="00AC770F"/>
    <w:rsid w:val="00AD0A9E"/>
    <w:rsid w:val="00AE4836"/>
    <w:rsid w:val="00AF2435"/>
    <w:rsid w:val="00B0084B"/>
    <w:rsid w:val="00B2296C"/>
    <w:rsid w:val="00B3321B"/>
    <w:rsid w:val="00B67B4B"/>
    <w:rsid w:val="00B872A7"/>
    <w:rsid w:val="00B924B9"/>
    <w:rsid w:val="00B95F58"/>
    <w:rsid w:val="00BC253F"/>
    <w:rsid w:val="00BD6292"/>
    <w:rsid w:val="00BD6A6A"/>
    <w:rsid w:val="00BF694D"/>
    <w:rsid w:val="00C046A2"/>
    <w:rsid w:val="00C521A3"/>
    <w:rsid w:val="00C6047B"/>
    <w:rsid w:val="00C90CAC"/>
    <w:rsid w:val="00CA4C76"/>
    <w:rsid w:val="00CB2D5B"/>
    <w:rsid w:val="00CB77E2"/>
    <w:rsid w:val="00D4100B"/>
    <w:rsid w:val="00D4472A"/>
    <w:rsid w:val="00D636CF"/>
    <w:rsid w:val="00D92091"/>
    <w:rsid w:val="00D92EE7"/>
    <w:rsid w:val="00DA6779"/>
    <w:rsid w:val="00DC10E1"/>
    <w:rsid w:val="00DD1351"/>
    <w:rsid w:val="00DD13A1"/>
    <w:rsid w:val="00DD688E"/>
    <w:rsid w:val="00E13A0A"/>
    <w:rsid w:val="00E17FD8"/>
    <w:rsid w:val="00E57DDE"/>
    <w:rsid w:val="00E63379"/>
    <w:rsid w:val="00E877D9"/>
    <w:rsid w:val="00EC2DCE"/>
    <w:rsid w:val="00ED30E1"/>
    <w:rsid w:val="00EF1D59"/>
    <w:rsid w:val="00F4786F"/>
    <w:rsid w:val="00F51365"/>
    <w:rsid w:val="00F80AD5"/>
    <w:rsid w:val="00F87A58"/>
    <w:rsid w:val="00F92CFD"/>
    <w:rsid w:val="00F94BEC"/>
    <w:rsid w:val="00F960BD"/>
    <w:rsid w:val="00FA25BF"/>
    <w:rsid w:val="00FE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5EE49-F0A4-4181-800B-37DA0380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dreadability">
    <w:name w:val="hardreadability"/>
    <w:basedOn w:val="DefaultParagraphFont"/>
    <w:rsid w:val="000940B4"/>
  </w:style>
  <w:style w:type="character" w:customStyle="1" w:styleId="adverb">
    <w:name w:val="adverb"/>
    <w:basedOn w:val="DefaultParagraphFont"/>
    <w:rsid w:val="0009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Millette</dc:creator>
  <cp:keywords/>
  <dc:description/>
  <cp:lastModifiedBy>Dana Caro</cp:lastModifiedBy>
  <cp:revision>2</cp:revision>
  <dcterms:created xsi:type="dcterms:W3CDTF">2018-12-10T16:54:00Z</dcterms:created>
  <dcterms:modified xsi:type="dcterms:W3CDTF">2018-12-10T16:54:00Z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6f7e6275-4371-4a6f-b2fc-7ada5882671d</vt:lpwstr>
  </property>
</Properties>
</file>